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4EB81C" w14:textId="6D802322" w:rsidR="00E22EC4" w:rsidRPr="00E22EC4" w:rsidRDefault="00E22EC4" w:rsidP="00E22EC4">
      <w:pPr>
        <w:suppressAutoHyphens/>
        <w:autoSpaceDN w:val="0"/>
        <w:spacing w:after="0" w:line="254" w:lineRule="auto"/>
        <w:contextualSpacing/>
        <w:jc w:val="center"/>
        <w:rPr>
          <w:rFonts w:eastAsia="Aptos" w:cs="Calibri"/>
          <w:b/>
          <w:bCs/>
          <w:kern w:val="3"/>
        </w:rPr>
      </w:pPr>
      <w:r w:rsidRPr="00E22EC4">
        <w:rPr>
          <w:rFonts w:eastAsia="Aptos" w:cs="Calibri"/>
          <w:b/>
          <w:bCs/>
          <w:kern w:val="3"/>
        </w:rPr>
        <w:t>INSTRUKCJA – ZASADY HORYZONTALNE</w:t>
      </w:r>
    </w:p>
    <w:p w14:paraId="6AF9F4CB" w14:textId="184A2CA4" w:rsidR="00E22EC4" w:rsidRPr="00E22EC4" w:rsidRDefault="00E22EC4" w:rsidP="00E22EC4">
      <w:pPr>
        <w:suppressAutoHyphens/>
        <w:autoSpaceDN w:val="0"/>
        <w:spacing w:after="0" w:line="254" w:lineRule="auto"/>
        <w:contextualSpacing/>
        <w:jc w:val="center"/>
        <w:rPr>
          <w:rFonts w:eastAsia="Aptos" w:cs="Calibri"/>
          <w:b/>
          <w:bCs/>
          <w:kern w:val="3"/>
        </w:rPr>
      </w:pPr>
      <w:r w:rsidRPr="00E22EC4">
        <w:rPr>
          <w:rFonts w:eastAsia="Aptos" w:cs="Calibri"/>
          <w:b/>
          <w:bCs/>
          <w:kern w:val="3"/>
        </w:rPr>
        <w:t xml:space="preserve">pkt D. wniosku o pożyczkę </w:t>
      </w:r>
    </w:p>
    <w:p w14:paraId="1230FBCC" w14:textId="77777777" w:rsidR="00E22EC4" w:rsidRPr="00E22EC4" w:rsidRDefault="00E22EC4" w:rsidP="00E22EC4">
      <w:pPr>
        <w:suppressAutoHyphens/>
        <w:autoSpaceDN w:val="0"/>
        <w:spacing w:after="0" w:line="254" w:lineRule="auto"/>
        <w:contextualSpacing/>
        <w:jc w:val="center"/>
        <w:rPr>
          <w:rFonts w:eastAsia="Aptos" w:cs="Calibri"/>
          <w:b/>
          <w:bCs/>
          <w:kern w:val="3"/>
        </w:rPr>
      </w:pPr>
    </w:p>
    <w:p w14:paraId="7C3871E2" w14:textId="77777777" w:rsidR="00E22EC4" w:rsidRPr="00E22EC4" w:rsidRDefault="00E22EC4" w:rsidP="00E22EC4">
      <w:pPr>
        <w:suppressAutoHyphens/>
        <w:autoSpaceDN w:val="0"/>
        <w:spacing w:after="160" w:line="240" w:lineRule="auto"/>
        <w:jc w:val="both"/>
        <w:rPr>
          <w:rFonts w:eastAsia="Aptos" w:cs="Calibri"/>
          <w:b/>
          <w:bCs/>
          <w:color w:val="0070C0"/>
          <w:kern w:val="3"/>
        </w:rPr>
      </w:pPr>
      <w:r w:rsidRPr="00E22EC4">
        <w:rPr>
          <w:rFonts w:eastAsia="Aptos" w:cs="Calibri"/>
          <w:b/>
          <w:bCs/>
          <w:color w:val="0070C0"/>
          <w:kern w:val="3"/>
        </w:rPr>
        <w:t>D.1.1.</w:t>
      </w:r>
      <w:r w:rsidRPr="00E22EC4">
        <w:rPr>
          <w:rFonts w:eastAsia="Aptos" w:cs="Calibri"/>
          <w:b/>
          <w:bCs/>
          <w:color w:val="0070C0"/>
          <w:kern w:val="3"/>
        </w:rPr>
        <w:tab/>
        <w:t>Wpływ inwestycji na realizację zasady równości szans i niedyskryminacji, w tym dostępności dla osób z niepełnosprawnościami oraz zgodność projektu z prawami i wolnościami z Karty Praw Podstawowych UE i konwencji o prawach osób niepełnosprawnych:</w:t>
      </w:r>
    </w:p>
    <w:p w14:paraId="1C75F4D3" w14:textId="67D0B8B3" w:rsidR="00E22EC4" w:rsidRPr="00E22EC4" w:rsidRDefault="00E22EC4" w:rsidP="00E22EC4">
      <w:pPr>
        <w:suppressAutoHyphens/>
        <w:autoSpaceDN w:val="0"/>
        <w:spacing w:after="160" w:line="251" w:lineRule="auto"/>
        <w:jc w:val="both"/>
        <w:rPr>
          <w:rFonts w:ascii="Aptos" w:eastAsia="Aptos" w:hAnsi="Aptos"/>
          <w:kern w:val="3"/>
        </w:rPr>
      </w:pPr>
      <w:bookmarkStart w:id="0" w:name="_Hlk176948286"/>
      <w:r w:rsidRPr="00E22EC4">
        <w:rPr>
          <w:rFonts w:eastAsia="Aptos" w:cs="Calibri"/>
          <w:i/>
          <w:iCs/>
          <w:kern w:val="3"/>
          <w:u w:val="single"/>
        </w:rPr>
        <w:t>Określ</w:t>
      </w:r>
      <w:r w:rsidR="0018124B">
        <w:rPr>
          <w:rFonts w:eastAsia="Aptos" w:cs="Calibri"/>
          <w:i/>
          <w:iCs/>
          <w:kern w:val="3"/>
          <w:u w:val="single"/>
        </w:rPr>
        <w:t>,</w:t>
      </w:r>
      <w:r w:rsidRPr="00E22EC4">
        <w:rPr>
          <w:rFonts w:eastAsia="Aptos" w:cs="Calibri"/>
          <w:i/>
          <w:iCs/>
          <w:kern w:val="3"/>
          <w:u w:val="single"/>
        </w:rPr>
        <w:t xml:space="preserve"> czy inwestycja ma </w:t>
      </w:r>
      <w:r w:rsidRPr="00E22EC4">
        <w:rPr>
          <w:rFonts w:eastAsia="Aptos" w:cs="Calibri"/>
          <w:b/>
          <w:bCs/>
          <w:i/>
          <w:iCs/>
          <w:kern w:val="3"/>
          <w:u w:val="single"/>
        </w:rPr>
        <w:t xml:space="preserve">NEUTRALNY </w:t>
      </w:r>
      <w:r w:rsidRPr="00E22EC4">
        <w:rPr>
          <w:rFonts w:eastAsia="Aptos" w:cs="Calibri"/>
          <w:b/>
          <w:bCs/>
          <w:i/>
          <w:iCs/>
          <w:kern w:val="3"/>
          <w:u w:val="single"/>
          <w:vertAlign w:val="superscript"/>
        </w:rPr>
        <w:footnoteReference w:id="1"/>
      </w:r>
      <w:r w:rsidRPr="00E22EC4">
        <w:rPr>
          <w:rFonts w:eastAsia="Aptos" w:cs="Calibri"/>
          <w:i/>
          <w:iCs/>
          <w:kern w:val="3"/>
          <w:u w:val="single"/>
        </w:rPr>
        <w:t xml:space="preserve"> czy </w:t>
      </w:r>
      <w:r w:rsidRPr="00E22EC4">
        <w:rPr>
          <w:rFonts w:eastAsia="Aptos" w:cs="Calibri"/>
          <w:b/>
          <w:bCs/>
          <w:i/>
          <w:iCs/>
          <w:kern w:val="3"/>
          <w:u w:val="single"/>
        </w:rPr>
        <w:t xml:space="preserve">POZYTYWNY </w:t>
      </w:r>
      <w:r w:rsidRPr="00E22EC4">
        <w:rPr>
          <w:rFonts w:eastAsia="Aptos" w:cs="Calibri"/>
          <w:b/>
          <w:bCs/>
          <w:i/>
          <w:iCs/>
          <w:kern w:val="3"/>
          <w:u w:val="single"/>
          <w:vertAlign w:val="superscript"/>
        </w:rPr>
        <w:footnoteReference w:id="2"/>
      </w:r>
      <w:r w:rsidRPr="00E22EC4">
        <w:rPr>
          <w:rFonts w:eastAsia="Aptos" w:cs="Calibri"/>
          <w:i/>
          <w:iCs/>
          <w:kern w:val="3"/>
          <w:u w:val="single"/>
        </w:rPr>
        <w:t xml:space="preserve"> wpływ na powyższą zasadę oraz </w:t>
      </w:r>
      <w:r w:rsidRPr="00E22EC4">
        <w:rPr>
          <w:rFonts w:eastAsia="Aptos" w:cs="Calibri"/>
          <w:b/>
          <w:bCs/>
          <w:i/>
          <w:iCs/>
          <w:kern w:val="3"/>
          <w:u w:val="single"/>
        </w:rPr>
        <w:t>uzasadnij</w:t>
      </w:r>
      <w:r w:rsidRPr="00E22EC4">
        <w:rPr>
          <w:rFonts w:eastAsia="Aptos" w:cs="Calibri"/>
          <w:i/>
          <w:iCs/>
          <w:kern w:val="3"/>
          <w:u w:val="single"/>
        </w:rPr>
        <w:t xml:space="preserve">. </w:t>
      </w:r>
    </w:p>
    <w:bookmarkEnd w:id="0"/>
    <w:p w14:paraId="743DF0BB" w14:textId="77777777" w:rsidR="00E22EC4" w:rsidRPr="00E22EC4" w:rsidRDefault="00E22EC4" w:rsidP="00E22EC4">
      <w:pPr>
        <w:suppressAutoHyphens/>
        <w:autoSpaceDN w:val="0"/>
        <w:spacing w:after="100" w:line="240" w:lineRule="auto"/>
        <w:contextualSpacing/>
        <w:jc w:val="both"/>
        <w:rPr>
          <w:rFonts w:ascii="Aptos" w:eastAsia="Aptos" w:hAnsi="Aptos"/>
          <w:kern w:val="3"/>
        </w:rPr>
      </w:pPr>
      <w:r w:rsidRPr="00E22EC4">
        <w:rPr>
          <w:rFonts w:eastAsia="Aptos" w:cs="Calibri"/>
          <w:b/>
          <w:bCs/>
          <w:kern w:val="3"/>
          <w:sz w:val="20"/>
          <w:szCs w:val="20"/>
        </w:rPr>
        <w:t>Zasada równości szans i niedyskryminacji oznacza</w:t>
      </w:r>
      <w:r w:rsidRPr="00E22EC4">
        <w:rPr>
          <w:rFonts w:eastAsia="Aptos" w:cs="Calibri"/>
          <w:kern w:val="3"/>
          <w:sz w:val="20"/>
          <w:szCs w:val="20"/>
        </w:rPr>
        <w:t xml:space="preserve"> wdrożenie działań umożliwiających wszystkim osobom sprawiedliwe i pełne uczestnictwo we wszystkich dziedzinach życia, bez względu na przesłanki tj. płeć, rasa, w tym kolor skóry oraz cechy genetyczne, pochodzenie etniczne, w tym język, przynależność do mniejszości narodowej, urodzenie oraz pochodzenie społeczne, majątek, religia, światopogląd, w tym przekonania, poglądy polityczne lub wszelkie inne poglądy, niepełnosprawność, wiek, orientacja seksualna.</w:t>
      </w:r>
    </w:p>
    <w:p w14:paraId="07492AFA" w14:textId="77777777" w:rsidR="00E22EC4" w:rsidRPr="00E22EC4" w:rsidRDefault="00E22EC4" w:rsidP="00E22EC4">
      <w:pPr>
        <w:suppressAutoHyphens/>
        <w:autoSpaceDN w:val="0"/>
        <w:spacing w:after="160" w:line="251" w:lineRule="auto"/>
        <w:jc w:val="both"/>
        <w:rPr>
          <w:rFonts w:ascii="Aptos" w:eastAsia="Aptos" w:hAnsi="Aptos"/>
          <w:kern w:val="3"/>
        </w:rPr>
      </w:pPr>
      <w:r w:rsidRPr="00E22EC4">
        <w:rPr>
          <w:rFonts w:eastAsia="Aptos" w:cs="Calibri"/>
          <w:b/>
          <w:bCs/>
          <w:kern w:val="3"/>
          <w:sz w:val="20"/>
          <w:szCs w:val="20"/>
        </w:rPr>
        <w:t xml:space="preserve">Dostępność </w:t>
      </w:r>
      <w:r w:rsidRPr="00E22EC4">
        <w:rPr>
          <w:rFonts w:eastAsia="Aptos" w:cs="Calibri"/>
          <w:kern w:val="3"/>
          <w:sz w:val="20"/>
          <w:szCs w:val="20"/>
        </w:rPr>
        <w:t xml:space="preserve">jest to możliwość korzystania z infrastruktury, transportu, technologii i systemów informacyjno-komunikacyjnych oraz produktów i usług. Pozwala ona w szczególności osobom z niepełnosprawnościami i osobom starszym na korzystanie z nich na zasadzie równości z innymi osobami. </w:t>
      </w:r>
    </w:p>
    <w:p w14:paraId="1D0261CF" w14:textId="77777777" w:rsidR="00E22EC4" w:rsidRPr="00E22EC4" w:rsidRDefault="00E22EC4" w:rsidP="00E22EC4">
      <w:pPr>
        <w:suppressAutoHyphens/>
        <w:autoSpaceDN w:val="0"/>
        <w:spacing w:after="160" w:line="251" w:lineRule="auto"/>
        <w:jc w:val="both"/>
        <w:rPr>
          <w:rFonts w:eastAsia="Aptos" w:cs="Calibri"/>
          <w:b/>
          <w:bCs/>
          <w:kern w:val="3"/>
          <w:sz w:val="20"/>
          <w:szCs w:val="20"/>
          <w:u w:val="single"/>
        </w:rPr>
      </w:pPr>
      <w:r w:rsidRPr="00E22EC4">
        <w:rPr>
          <w:rFonts w:eastAsia="Aptos" w:cs="Calibri"/>
          <w:b/>
          <w:bCs/>
          <w:kern w:val="3"/>
          <w:sz w:val="20"/>
          <w:szCs w:val="20"/>
          <w:u w:val="single"/>
        </w:rPr>
        <w:t>Przeprowadzając analizę Inwestycji pod kątem zapewnienia równości szans i niedyskryminacji możesz skorzystać z poniższych pytań:</w:t>
      </w:r>
    </w:p>
    <w:p w14:paraId="7F6F0362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eastAsia="Aptos" w:cs="Calibri"/>
          <w:i/>
          <w:iCs/>
          <w:kern w:val="3"/>
          <w:sz w:val="20"/>
          <w:szCs w:val="20"/>
        </w:rPr>
      </w:pPr>
      <w:r w:rsidRPr="00E22EC4">
        <w:rPr>
          <w:rFonts w:eastAsia="Aptos" w:cs="Calibri"/>
          <w:i/>
          <w:iCs/>
          <w:kern w:val="3"/>
          <w:sz w:val="20"/>
          <w:szCs w:val="20"/>
        </w:rPr>
        <w:t>• czy w przedsięwzięciu stosuję politykę antydyskryminacyjną np. w procesie rekrutacji, zatrudnienia, warunków pracy, wynagrodzenia, awansów, oceny pracowników, itp.?</w:t>
      </w:r>
    </w:p>
    <w:p w14:paraId="60E1C7DA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eastAsia="Aptos" w:cs="Calibri"/>
          <w:i/>
          <w:iCs/>
          <w:kern w:val="3"/>
          <w:sz w:val="20"/>
          <w:szCs w:val="20"/>
        </w:rPr>
      </w:pPr>
      <w:r w:rsidRPr="00E22EC4">
        <w:rPr>
          <w:rFonts w:eastAsia="Aptos" w:cs="Calibri"/>
          <w:i/>
          <w:iCs/>
          <w:kern w:val="3"/>
          <w:sz w:val="20"/>
          <w:szCs w:val="20"/>
        </w:rPr>
        <w:t xml:space="preserve">• czy posiadam regulacje określające wymagania dotyczące działań antydyskryminacyjnych, </w:t>
      </w:r>
      <w:proofErr w:type="spellStart"/>
      <w:r w:rsidRPr="00E22EC4">
        <w:rPr>
          <w:rFonts w:eastAsia="Aptos" w:cs="Calibri"/>
          <w:i/>
          <w:iCs/>
          <w:kern w:val="3"/>
          <w:sz w:val="20"/>
          <w:szCs w:val="20"/>
        </w:rPr>
        <w:t>antymobbingowych</w:t>
      </w:r>
      <w:proofErr w:type="spellEnd"/>
      <w:r w:rsidRPr="00E22EC4">
        <w:rPr>
          <w:rFonts w:eastAsia="Aptos" w:cs="Calibri"/>
          <w:i/>
          <w:iCs/>
          <w:kern w:val="3"/>
          <w:sz w:val="20"/>
          <w:szCs w:val="20"/>
        </w:rPr>
        <w:t>, zapobiegających molestowaniu seksualnemu, np. regulaminy, instrukcje, itp.?</w:t>
      </w:r>
    </w:p>
    <w:p w14:paraId="50BCDCC5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eastAsia="Aptos" w:cs="Calibri"/>
          <w:i/>
          <w:iCs/>
          <w:kern w:val="3"/>
          <w:sz w:val="20"/>
          <w:szCs w:val="20"/>
        </w:rPr>
      </w:pPr>
      <w:r w:rsidRPr="00E22EC4">
        <w:rPr>
          <w:rFonts w:eastAsia="Aptos" w:cs="Calibri"/>
          <w:i/>
          <w:iCs/>
          <w:kern w:val="3"/>
          <w:sz w:val="20"/>
          <w:szCs w:val="20"/>
        </w:rPr>
        <w:t xml:space="preserve">• czy korzystam/ zapewniam pracownikom możliwość uczestnictwa w szkoleniach antydyskryminacyjnych, </w:t>
      </w:r>
      <w:proofErr w:type="spellStart"/>
      <w:r w:rsidRPr="00E22EC4">
        <w:rPr>
          <w:rFonts w:eastAsia="Aptos" w:cs="Calibri"/>
          <w:i/>
          <w:iCs/>
          <w:kern w:val="3"/>
          <w:sz w:val="20"/>
          <w:szCs w:val="20"/>
        </w:rPr>
        <w:t>antymobbingowych</w:t>
      </w:r>
      <w:proofErr w:type="spellEnd"/>
      <w:r w:rsidRPr="00E22EC4">
        <w:rPr>
          <w:rFonts w:eastAsia="Aptos" w:cs="Calibri"/>
          <w:i/>
          <w:iCs/>
          <w:kern w:val="3"/>
          <w:sz w:val="20"/>
          <w:szCs w:val="20"/>
        </w:rPr>
        <w:t xml:space="preserve">, zarządzania różnorodnością, </w:t>
      </w:r>
      <w:proofErr w:type="spellStart"/>
      <w:r w:rsidRPr="00E22EC4">
        <w:rPr>
          <w:rFonts w:eastAsia="Aptos" w:cs="Calibri"/>
          <w:i/>
          <w:iCs/>
          <w:kern w:val="3"/>
          <w:sz w:val="20"/>
          <w:szCs w:val="20"/>
        </w:rPr>
        <w:t>work</w:t>
      </w:r>
      <w:proofErr w:type="spellEnd"/>
      <w:r w:rsidRPr="00E22EC4">
        <w:rPr>
          <w:rFonts w:eastAsia="Aptos" w:cs="Calibri"/>
          <w:i/>
          <w:iCs/>
          <w:kern w:val="3"/>
          <w:sz w:val="20"/>
          <w:szCs w:val="20"/>
        </w:rPr>
        <w:t xml:space="preserve">-life </w:t>
      </w:r>
      <w:proofErr w:type="spellStart"/>
      <w:r w:rsidRPr="00E22EC4">
        <w:rPr>
          <w:rFonts w:eastAsia="Aptos" w:cs="Calibri"/>
          <w:i/>
          <w:iCs/>
          <w:kern w:val="3"/>
          <w:sz w:val="20"/>
          <w:szCs w:val="20"/>
        </w:rPr>
        <w:t>balance</w:t>
      </w:r>
      <w:proofErr w:type="spellEnd"/>
      <w:r w:rsidRPr="00E22EC4">
        <w:rPr>
          <w:rFonts w:eastAsia="Aptos" w:cs="Calibri"/>
          <w:i/>
          <w:iCs/>
          <w:kern w:val="3"/>
          <w:sz w:val="20"/>
          <w:szCs w:val="20"/>
        </w:rPr>
        <w:t>, itp.?</w:t>
      </w:r>
    </w:p>
    <w:p w14:paraId="786E64F4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eastAsia="Aptos" w:cs="Calibri"/>
          <w:i/>
          <w:iCs/>
          <w:kern w:val="3"/>
          <w:sz w:val="20"/>
          <w:szCs w:val="20"/>
        </w:rPr>
      </w:pPr>
      <w:r w:rsidRPr="00E22EC4">
        <w:rPr>
          <w:rFonts w:eastAsia="Aptos" w:cs="Calibri"/>
          <w:i/>
          <w:iCs/>
          <w:kern w:val="3"/>
          <w:sz w:val="20"/>
          <w:szCs w:val="20"/>
        </w:rPr>
        <w:t>• czy zapewniam inne rozwiązania antydyskryminacyjne np. elastyczne godziny pracy, urlopy opiekuńcze umożliwiające zapewnienie osobistej opieki lub wsparcia osobie zależnej, itp.?</w:t>
      </w:r>
    </w:p>
    <w:p w14:paraId="3E23DA5A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eastAsia="Aptos" w:cs="Calibri"/>
          <w:kern w:val="3"/>
          <w:sz w:val="20"/>
          <w:szCs w:val="20"/>
        </w:rPr>
      </w:pPr>
    </w:p>
    <w:p w14:paraId="007C9653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ascii="Aptos" w:eastAsia="Aptos" w:hAnsi="Aptos"/>
          <w:kern w:val="3"/>
        </w:rPr>
      </w:pPr>
      <w:bookmarkStart w:id="1" w:name="_Hlk176953557"/>
      <w:r w:rsidRPr="00E22EC4">
        <w:rPr>
          <w:rFonts w:eastAsia="Aptos" w:cs="Calibri"/>
          <w:b/>
          <w:bCs/>
          <w:kern w:val="3"/>
          <w:sz w:val="20"/>
          <w:szCs w:val="20"/>
          <w:u w:val="single"/>
        </w:rPr>
        <w:t>Przeprowadzając analizę Inwestycji pod kątem zapewnienia dostępności i uniwersalnego projektowania</w:t>
      </w:r>
      <w:r w:rsidRPr="00E22EC4">
        <w:rPr>
          <w:rFonts w:eastAsia="Aptos" w:cs="Calibri"/>
          <w:b/>
          <w:bCs/>
          <w:kern w:val="3"/>
          <w:sz w:val="20"/>
          <w:szCs w:val="20"/>
          <w:u w:val="single"/>
          <w:vertAlign w:val="superscript"/>
        </w:rPr>
        <w:footnoteReference w:id="3"/>
      </w:r>
      <w:r w:rsidRPr="00E22EC4">
        <w:rPr>
          <w:rFonts w:eastAsia="Aptos" w:cs="Calibri"/>
          <w:b/>
          <w:bCs/>
          <w:kern w:val="3"/>
          <w:sz w:val="20"/>
          <w:szCs w:val="20"/>
          <w:u w:val="single"/>
        </w:rPr>
        <w:t xml:space="preserve"> </w:t>
      </w:r>
      <w:bookmarkStart w:id="2" w:name="_Hlk176947256"/>
      <w:r w:rsidRPr="00E22EC4">
        <w:rPr>
          <w:rFonts w:eastAsia="Aptos" w:cs="Calibri"/>
          <w:b/>
          <w:bCs/>
          <w:kern w:val="3"/>
          <w:sz w:val="20"/>
          <w:szCs w:val="20"/>
          <w:u w:val="single"/>
        </w:rPr>
        <w:t>można skorzystać z poniższych pytań:</w:t>
      </w:r>
    </w:p>
    <w:bookmarkEnd w:id="1"/>
    <w:bookmarkEnd w:id="2"/>
    <w:p w14:paraId="469FA9A5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eastAsia="Aptos" w:cs="Calibri"/>
          <w:kern w:val="3"/>
          <w:sz w:val="20"/>
          <w:szCs w:val="20"/>
          <w:u w:val="single"/>
        </w:rPr>
      </w:pPr>
    </w:p>
    <w:p w14:paraId="763C0152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ascii="Aptos" w:eastAsia="Aptos" w:hAnsi="Aptos"/>
          <w:kern w:val="3"/>
        </w:rPr>
      </w:pPr>
      <w:r w:rsidRPr="00E22EC4">
        <w:rPr>
          <w:rFonts w:eastAsia="Aptos" w:cs="Calibri"/>
          <w:i/>
          <w:iCs/>
          <w:kern w:val="3"/>
          <w:sz w:val="20"/>
          <w:szCs w:val="20"/>
        </w:rPr>
        <w:t xml:space="preserve">•  czy informacje o firmie/przedsięwzięciu na mojej stronie internetowej są czytelne dla każdego i czy są przygotowane zgodnie ze standardem Web Content Accessibility </w:t>
      </w:r>
      <w:proofErr w:type="spellStart"/>
      <w:r w:rsidRPr="00E22EC4">
        <w:rPr>
          <w:rFonts w:eastAsia="Aptos" w:cs="Calibri"/>
          <w:i/>
          <w:iCs/>
          <w:kern w:val="3"/>
          <w:sz w:val="20"/>
          <w:szCs w:val="20"/>
        </w:rPr>
        <w:t>Guidelines</w:t>
      </w:r>
      <w:proofErr w:type="spellEnd"/>
      <w:r w:rsidRPr="00E22EC4">
        <w:rPr>
          <w:rFonts w:eastAsia="Aptos" w:cs="Calibri"/>
          <w:i/>
          <w:iCs/>
          <w:kern w:val="3"/>
          <w:sz w:val="20"/>
          <w:szCs w:val="20"/>
        </w:rPr>
        <w:t xml:space="preserve"> (WCAG </w:t>
      </w:r>
      <w:r w:rsidRPr="00E22EC4">
        <w:rPr>
          <w:rFonts w:eastAsia="Aptos" w:cs="Calibri"/>
          <w:i/>
          <w:iCs/>
          <w:kern w:val="3"/>
          <w:sz w:val="20"/>
          <w:szCs w:val="20"/>
          <w:vertAlign w:val="superscript"/>
        </w:rPr>
        <w:footnoteReference w:id="4"/>
      </w:r>
      <w:r w:rsidRPr="00E22EC4">
        <w:rPr>
          <w:rFonts w:eastAsia="Aptos" w:cs="Calibri"/>
          <w:i/>
          <w:iCs/>
          <w:kern w:val="3"/>
          <w:sz w:val="20"/>
          <w:szCs w:val="20"/>
        </w:rPr>
        <w:t>)?</w:t>
      </w:r>
    </w:p>
    <w:p w14:paraId="770B9F0C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eastAsia="Aptos" w:cs="Calibri"/>
          <w:i/>
          <w:iCs/>
          <w:kern w:val="3"/>
          <w:sz w:val="20"/>
          <w:szCs w:val="20"/>
        </w:rPr>
      </w:pPr>
      <w:r w:rsidRPr="00E22EC4">
        <w:rPr>
          <w:rFonts w:eastAsia="Aptos" w:cs="Calibri"/>
          <w:i/>
          <w:iCs/>
          <w:kern w:val="3"/>
          <w:sz w:val="20"/>
          <w:szCs w:val="20"/>
        </w:rPr>
        <w:t xml:space="preserve">•  czy pamiętam o przygotowaniu informacji o przedsięwzięciu w różnych kanałach informacyjnych np. ulotki, plakaty, nagrane w polskim języku migowym, z użyciem transkrypcji, </w:t>
      </w:r>
      <w:proofErr w:type="spellStart"/>
      <w:r w:rsidRPr="00E22EC4">
        <w:rPr>
          <w:rFonts w:eastAsia="Aptos" w:cs="Calibri"/>
          <w:i/>
          <w:iCs/>
          <w:kern w:val="3"/>
          <w:sz w:val="20"/>
          <w:szCs w:val="20"/>
        </w:rPr>
        <w:t>audiodeskrypcji</w:t>
      </w:r>
      <w:proofErr w:type="spellEnd"/>
      <w:r w:rsidRPr="00E22EC4">
        <w:rPr>
          <w:rFonts w:eastAsia="Aptos" w:cs="Calibri"/>
          <w:i/>
          <w:iCs/>
          <w:kern w:val="3"/>
          <w:sz w:val="20"/>
          <w:szCs w:val="20"/>
        </w:rPr>
        <w:t>, napisów rozszerzonych, itp.?</w:t>
      </w:r>
    </w:p>
    <w:p w14:paraId="13E17DBB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ascii="Aptos" w:eastAsia="Aptos" w:hAnsi="Aptos"/>
          <w:kern w:val="3"/>
        </w:rPr>
      </w:pPr>
      <w:r w:rsidRPr="00E22EC4">
        <w:rPr>
          <w:rFonts w:eastAsia="Aptos" w:cs="Calibri"/>
          <w:i/>
          <w:iCs/>
          <w:kern w:val="3"/>
          <w:sz w:val="20"/>
          <w:szCs w:val="20"/>
        </w:rPr>
        <w:t>•  czy produkty są zaprojektowane zgodnie z zasadą uniwersalnego projektowania?</w:t>
      </w:r>
    </w:p>
    <w:p w14:paraId="4CA137D7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eastAsia="Aptos" w:cs="Calibri"/>
          <w:i/>
          <w:iCs/>
          <w:kern w:val="3"/>
          <w:sz w:val="20"/>
          <w:szCs w:val="20"/>
        </w:rPr>
      </w:pPr>
      <w:r w:rsidRPr="00E22EC4">
        <w:rPr>
          <w:rFonts w:eastAsia="Aptos" w:cs="Calibri"/>
          <w:i/>
          <w:iCs/>
          <w:kern w:val="3"/>
          <w:sz w:val="20"/>
          <w:szCs w:val="20"/>
        </w:rPr>
        <w:t>• czy z efektów mojego przedsięwzięcia lub usługi będą mogły w pełni skorzystać osoby ze specjalnymi potrzebami: np. niewidome, niedowidzące, głuche, słabosłyszące, poruszające się na wózku inwalidzkim, osoby z niepełnosprawnością intelektualną, osoby starsze, osoby z innymi ukrytymi schorzeniami, tj. np. padaczka, cukrzyca, choroby krążenia, kręgosłupa, reumatyzm?</w:t>
      </w:r>
    </w:p>
    <w:p w14:paraId="5FE802D4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eastAsia="Aptos" w:cs="Calibri"/>
          <w:i/>
          <w:iCs/>
          <w:kern w:val="3"/>
          <w:sz w:val="20"/>
          <w:szCs w:val="20"/>
        </w:rPr>
      </w:pPr>
      <w:r w:rsidRPr="00E22EC4">
        <w:rPr>
          <w:rFonts w:eastAsia="Aptos" w:cs="Calibri"/>
          <w:i/>
          <w:iCs/>
          <w:kern w:val="3"/>
          <w:sz w:val="20"/>
          <w:szCs w:val="20"/>
        </w:rPr>
        <w:lastRenderedPageBreak/>
        <w:t>• czy siedziba przedsięwzięcia/ biuro/ magazyn/hala produkcyjna jest dostępna i pamiętam o zapewnieniu dostępności i opisaniu dostępności, tj. informacji o szerokości drzwi, czy w obiekcie znajduje się toaleta dostosowana do osób niepełnosprawnych, winda, podjazdy?</w:t>
      </w:r>
      <w:r w:rsidRPr="00E22EC4">
        <w:rPr>
          <w:rFonts w:eastAsia="Aptos" w:cs="Calibri"/>
          <w:i/>
          <w:iCs/>
          <w:kern w:val="3"/>
          <w:sz w:val="20"/>
          <w:szCs w:val="20"/>
        </w:rPr>
        <w:tab/>
      </w:r>
    </w:p>
    <w:p w14:paraId="62C1630B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eastAsia="Aptos" w:cs="Calibri"/>
          <w:kern w:val="3"/>
          <w:sz w:val="20"/>
          <w:szCs w:val="20"/>
        </w:rPr>
      </w:pPr>
    </w:p>
    <w:p w14:paraId="300189A5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ascii="Aptos" w:eastAsia="Aptos" w:hAnsi="Aptos"/>
          <w:kern w:val="3"/>
        </w:rPr>
      </w:pPr>
      <w:r w:rsidRPr="00E22EC4">
        <w:rPr>
          <w:rFonts w:eastAsia="Aptos" w:cs="Calibri"/>
          <w:b/>
          <w:bCs/>
          <w:kern w:val="3"/>
          <w:sz w:val="20"/>
          <w:szCs w:val="20"/>
        </w:rPr>
        <w:t>Karta praw podstawowych</w:t>
      </w:r>
      <w:r w:rsidRPr="00E22EC4">
        <w:rPr>
          <w:rFonts w:eastAsia="Aptos" w:cs="Calibri"/>
          <w:b/>
          <w:bCs/>
          <w:kern w:val="3"/>
          <w:sz w:val="20"/>
          <w:szCs w:val="20"/>
          <w:vertAlign w:val="superscript"/>
        </w:rPr>
        <w:footnoteReference w:id="5"/>
      </w:r>
      <w:r w:rsidRPr="00E22EC4">
        <w:rPr>
          <w:rFonts w:eastAsia="Aptos" w:cs="Calibri"/>
          <w:b/>
          <w:bCs/>
          <w:kern w:val="3"/>
          <w:sz w:val="20"/>
          <w:szCs w:val="20"/>
        </w:rPr>
        <w:t xml:space="preserve"> obejmuje podstawowe zasady: </w:t>
      </w:r>
    </w:p>
    <w:p w14:paraId="460A40F4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ascii="Aptos" w:eastAsia="Aptos" w:hAnsi="Aptos"/>
          <w:kern w:val="3"/>
        </w:rPr>
      </w:pPr>
    </w:p>
    <w:p w14:paraId="126AAB75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ascii="Aptos" w:eastAsia="Aptos" w:hAnsi="Aptos"/>
          <w:kern w:val="3"/>
        </w:rPr>
      </w:pPr>
      <w:r w:rsidRPr="00E22EC4">
        <w:rPr>
          <w:rFonts w:eastAsia="Aptos" w:cs="Calibri"/>
          <w:i/>
          <w:iCs/>
          <w:kern w:val="3"/>
          <w:sz w:val="20"/>
          <w:szCs w:val="20"/>
          <w:u w:val="single"/>
        </w:rPr>
        <w:t>godności</w:t>
      </w:r>
      <w:r w:rsidRPr="00E22EC4">
        <w:rPr>
          <w:rFonts w:eastAsia="Aptos" w:cs="Calibri"/>
          <w:b/>
          <w:bCs/>
          <w:i/>
          <w:iCs/>
          <w:kern w:val="3"/>
          <w:sz w:val="20"/>
          <w:szCs w:val="20"/>
        </w:rPr>
        <w:t xml:space="preserve"> </w:t>
      </w:r>
      <w:r w:rsidRPr="00E22EC4">
        <w:rPr>
          <w:rFonts w:eastAsia="Aptos" w:cs="Calibri"/>
          <w:kern w:val="3"/>
          <w:sz w:val="20"/>
          <w:szCs w:val="20"/>
        </w:rPr>
        <w:t>– m. in. prawo do życia, integralności fizycznej i psychicznej, poszanowania ludzkiej godności (…);</w:t>
      </w:r>
    </w:p>
    <w:p w14:paraId="214060AD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ascii="Aptos" w:eastAsia="Aptos" w:hAnsi="Aptos"/>
          <w:kern w:val="3"/>
        </w:rPr>
      </w:pPr>
      <w:r w:rsidRPr="00E22EC4">
        <w:rPr>
          <w:rFonts w:eastAsia="Aptos" w:cs="Calibri"/>
          <w:i/>
          <w:iCs/>
          <w:kern w:val="3"/>
          <w:sz w:val="20"/>
          <w:szCs w:val="20"/>
          <w:u w:val="single"/>
        </w:rPr>
        <w:t>wolności</w:t>
      </w:r>
      <w:r w:rsidRPr="00E22EC4">
        <w:rPr>
          <w:rFonts w:eastAsia="Aptos" w:cs="Calibri"/>
          <w:kern w:val="3"/>
          <w:sz w:val="20"/>
          <w:szCs w:val="20"/>
        </w:rPr>
        <w:t xml:space="preserve"> – m. in. wolności i bezpieczeństwa osobistego; poszanowania życia prywatnego i rodzinnego; ochrony danych osobowych; prawa do zawarcia małżeństwa i założenia rodziny; wolności myśli, sumienia i religii (…);</w:t>
      </w:r>
    </w:p>
    <w:p w14:paraId="3DC99707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ascii="Aptos" w:eastAsia="Aptos" w:hAnsi="Aptos"/>
          <w:kern w:val="3"/>
        </w:rPr>
      </w:pPr>
      <w:r w:rsidRPr="00E22EC4">
        <w:rPr>
          <w:rFonts w:eastAsia="Aptos" w:cs="Calibri"/>
          <w:i/>
          <w:iCs/>
          <w:kern w:val="3"/>
          <w:sz w:val="20"/>
          <w:szCs w:val="20"/>
          <w:u w:val="single"/>
        </w:rPr>
        <w:t>równości</w:t>
      </w:r>
      <w:r w:rsidRPr="00E22EC4">
        <w:rPr>
          <w:rFonts w:eastAsia="Aptos" w:cs="Calibri"/>
          <w:b/>
          <w:bCs/>
          <w:i/>
          <w:iCs/>
          <w:kern w:val="3"/>
          <w:sz w:val="20"/>
          <w:szCs w:val="20"/>
        </w:rPr>
        <w:t xml:space="preserve"> </w:t>
      </w:r>
      <w:r w:rsidRPr="00E22EC4">
        <w:rPr>
          <w:rFonts w:eastAsia="Aptos" w:cs="Calibri"/>
          <w:kern w:val="3"/>
          <w:sz w:val="20"/>
          <w:szCs w:val="20"/>
        </w:rPr>
        <w:t>– wobec prawa, niedyskryminacji; różnorodności kulturowej, religijnej i językowej; równości kobiet i mężczyzn; prawa dziecka, osób starszych i niepełnosprawnych;</w:t>
      </w:r>
    </w:p>
    <w:p w14:paraId="79B3BAA3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ascii="Aptos" w:eastAsia="Aptos" w:hAnsi="Aptos"/>
          <w:kern w:val="3"/>
        </w:rPr>
      </w:pPr>
      <w:r w:rsidRPr="00E22EC4">
        <w:rPr>
          <w:rFonts w:eastAsia="Aptos" w:cs="Calibri"/>
          <w:i/>
          <w:iCs/>
          <w:kern w:val="3"/>
          <w:sz w:val="20"/>
          <w:szCs w:val="20"/>
          <w:u w:val="single"/>
        </w:rPr>
        <w:t>solidarności</w:t>
      </w:r>
      <w:r w:rsidRPr="00E22EC4">
        <w:rPr>
          <w:rFonts w:eastAsia="Aptos" w:cs="Calibri"/>
          <w:b/>
          <w:bCs/>
          <w:i/>
          <w:iCs/>
          <w:kern w:val="3"/>
          <w:sz w:val="20"/>
          <w:szCs w:val="20"/>
        </w:rPr>
        <w:t xml:space="preserve"> </w:t>
      </w:r>
      <w:r w:rsidRPr="00E22EC4">
        <w:rPr>
          <w:rFonts w:eastAsia="Aptos" w:cs="Calibri"/>
          <w:kern w:val="3"/>
          <w:sz w:val="20"/>
          <w:szCs w:val="20"/>
        </w:rPr>
        <w:t>– prawo pracowników do informacji i konsultacji w ramach przedsiębiorstwa; prawo do rokowań i działań zbiorowych; dostęp do pośrednictwa pracy; ochrona w przypadku nieuzasadnionego zwolnienia z pracy; należyte i sprawiedliwe warunki pracy; zakaz pracy dzieci i ochrona młodocianych w pracy; pogodzenia życia rodzinnego z zawodowym; zabezpieczenie społeczne i pomoc społeczna; ochrona zdrowia, (…)</w:t>
      </w:r>
    </w:p>
    <w:p w14:paraId="7F0BE9E9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ascii="Aptos" w:eastAsia="Aptos" w:hAnsi="Aptos"/>
          <w:kern w:val="3"/>
        </w:rPr>
      </w:pPr>
      <w:r w:rsidRPr="00E22EC4">
        <w:rPr>
          <w:rFonts w:eastAsia="Aptos" w:cs="Calibri"/>
          <w:i/>
          <w:iCs/>
          <w:kern w:val="3"/>
          <w:sz w:val="20"/>
          <w:szCs w:val="20"/>
          <w:u w:val="single"/>
        </w:rPr>
        <w:t>praw obywatelskich</w:t>
      </w:r>
      <w:r w:rsidRPr="00E22EC4">
        <w:rPr>
          <w:rFonts w:eastAsia="Aptos" w:cs="Calibri"/>
          <w:kern w:val="3"/>
          <w:sz w:val="20"/>
          <w:szCs w:val="20"/>
        </w:rPr>
        <w:t xml:space="preserve"> – prawo głosowania i kandydowania w wyborach do Parlamentu Europejskiego; prawo głosowania i kandydowania w wyborach lokalnych(..);</w:t>
      </w:r>
    </w:p>
    <w:p w14:paraId="071982AA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ascii="Aptos" w:eastAsia="Aptos" w:hAnsi="Aptos"/>
          <w:kern w:val="3"/>
        </w:rPr>
      </w:pPr>
      <w:r w:rsidRPr="00E22EC4">
        <w:rPr>
          <w:rFonts w:eastAsia="Aptos" w:cs="Calibri"/>
          <w:i/>
          <w:iCs/>
          <w:kern w:val="3"/>
          <w:sz w:val="20"/>
          <w:szCs w:val="20"/>
          <w:u w:val="single"/>
        </w:rPr>
        <w:t>wymiaru sprawiedliwości</w:t>
      </w:r>
      <w:r w:rsidRPr="00E22EC4">
        <w:rPr>
          <w:rFonts w:eastAsia="Aptos" w:cs="Calibri"/>
          <w:kern w:val="3"/>
          <w:sz w:val="20"/>
          <w:szCs w:val="20"/>
        </w:rPr>
        <w:t xml:space="preserve"> – prawo do skutecznego środka prawnego i dostępu do bezstronnego sądu; domniemanie niewinności i prawo do obrony, (…); </w:t>
      </w:r>
    </w:p>
    <w:p w14:paraId="78B66056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eastAsia="Aptos" w:cs="Calibri"/>
          <w:kern w:val="3"/>
          <w:sz w:val="20"/>
          <w:szCs w:val="20"/>
        </w:rPr>
      </w:pPr>
    </w:p>
    <w:p w14:paraId="079AC65F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ascii="Aptos" w:eastAsia="Aptos" w:hAnsi="Aptos"/>
          <w:kern w:val="3"/>
        </w:rPr>
      </w:pPr>
      <w:r w:rsidRPr="00E22EC4">
        <w:rPr>
          <w:rFonts w:eastAsia="Aptos" w:cs="Calibri"/>
          <w:kern w:val="3"/>
          <w:sz w:val="20"/>
          <w:szCs w:val="20"/>
        </w:rPr>
        <w:t xml:space="preserve">Najważniejszymi postanowieniami </w:t>
      </w:r>
      <w:r w:rsidRPr="00E22EC4">
        <w:rPr>
          <w:rFonts w:eastAsia="Aptos" w:cs="Calibri"/>
          <w:b/>
          <w:bCs/>
          <w:kern w:val="3"/>
          <w:sz w:val="20"/>
          <w:szCs w:val="20"/>
        </w:rPr>
        <w:t>Konwencji o prawach osób niepełnosprawnych</w:t>
      </w:r>
      <w:r w:rsidRPr="00E22EC4">
        <w:rPr>
          <w:rFonts w:eastAsia="Aptos" w:cs="Calibri"/>
          <w:kern w:val="3"/>
          <w:sz w:val="20"/>
          <w:szCs w:val="20"/>
          <w:vertAlign w:val="superscript"/>
        </w:rPr>
        <w:footnoteReference w:id="6"/>
      </w:r>
      <w:r w:rsidRPr="00E22EC4">
        <w:rPr>
          <w:rFonts w:eastAsia="Aptos" w:cs="Calibri"/>
          <w:kern w:val="3"/>
          <w:sz w:val="20"/>
          <w:szCs w:val="20"/>
        </w:rPr>
        <w:t xml:space="preserve"> są: prawo równości i niedyskryminacji, prawo dostępu do wymiaru sprawiedliwości, prawo do samodzielnego życia i bycia włączonym do społeczności, prawo do mobilności, ochrony zdrowia i rehabilitacji, prawo do edukacji, pracy i zatrudnienia oraz udziału w życiu politycznym, publicznym i kulturalnym, prawo do rekreacji, wypoczynku i sportu.</w:t>
      </w:r>
    </w:p>
    <w:p w14:paraId="57B8D931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ascii="Aptos" w:eastAsia="Aptos" w:hAnsi="Aptos"/>
          <w:kern w:val="3"/>
        </w:rPr>
      </w:pPr>
    </w:p>
    <w:p w14:paraId="69710CDB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eastAsia="Aptos" w:cs="Calibri"/>
          <w:kern w:val="3"/>
          <w:sz w:val="20"/>
          <w:szCs w:val="20"/>
        </w:rPr>
      </w:pPr>
    </w:p>
    <w:p w14:paraId="31072884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eastAsia="Aptos" w:cs="Calibri"/>
          <w:b/>
          <w:bCs/>
          <w:color w:val="0070C0"/>
          <w:kern w:val="3"/>
        </w:rPr>
      </w:pPr>
      <w:r w:rsidRPr="00E22EC4">
        <w:rPr>
          <w:rFonts w:eastAsia="Aptos" w:cs="Calibri"/>
          <w:b/>
          <w:bCs/>
          <w:color w:val="0070C0"/>
          <w:kern w:val="3"/>
        </w:rPr>
        <w:t>D.1.2.</w:t>
      </w:r>
      <w:r w:rsidRPr="00E22EC4">
        <w:rPr>
          <w:rFonts w:eastAsia="Aptos" w:cs="Calibri"/>
          <w:b/>
          <w:bCs/>
          <w:color w:val="0070C0"/>
          <w:kern w:val="3"/>
        </w:rPr>
        <w:tab/>
        <w:t>Wpływ inwestycji na realizację zasady równości kobiet i mężczyzn:</w:t>
      </w:r>
    </w:p>
    <w:p w14:paraId="7AAA2C90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eastAsia="Aptos" w:cs="Calibri"/>
          <w:b/>
          <w:bCs/>
          <w:color w:val="0070C0"/>
          <w:kern w:val="3"/>
        </w:rPr>
      </w:pPr>
    </w:p>
    <w:p w14:paraId="6D7C7DA1" w14:textId="4D4A93DA" w:rsidR="00E22EC4" w:rsidRPr="00E22EC4" w:rsidRDefault="00E22EC4" w:rsidP="00E22EC4">
      <w:pPr>
        <w:suppressAutoHyphens/>
        <w:autoSpaceDN w:val="0"/>
        <w:spacing w:after="160" w:line="251" w:lineRule="auto"/>
        <w:jc w:val="both"/>
        <w:rPr>
          <w:rFonts w:ascii="Aptos" w:eastAsia="Aptos" w:hAnsi="Aptos"/>
          <w:kern w:val="3"/>
        </w:rPr>
      </w:pPr>
      <w:bookmarkStart w:id="3" w:name="_Hlk176949914"/>
      <w:r w:rsidRPr="00E22EC4">
        <w:rPr>
          <w:rFonts w:eastAsia="Aptos" w:cs="Calibri"/>
          <w:i/>
          <w:iCs/>
          <w:kern w:val="3"/>
        </w:rPr>
        <w:t>Określ</w:t>
      </w:r>
      <w:r w:rsidR="0018124B">
        <w:rPr>
          <w:rFonts w:eastAsia="Aptos" w:cs="Calibri"/>
          <w:i/>
          <w:iCs/>
          <w:kern w:val="3"/>
        </w:rPr>
        <w:t>,</w:t>
      </w:r>
      <w:r w:rsidRPr="00E22EC4">
        <w:rPr>
          <w:rFonts w:eastAsia="Aptos" w:cs="Calibri"/>
          <w:i/>
          <w:iCs/>
          <w:kern w:val="3"/>
        </w:rPr>
        <w:t xml:space="preserve"> czy inwestycja ma </w:t>
      </w:r>
      <w:r w:rsidRPr="00E22EC4">
        <w:rPr>
          <w:rFonts w:eastAsia="Aptos" w:cs="Calibri"/>
          <w:b/>
          <w:bCs/>
          <w:i/>
          <w:iCs/>
          <w:kern w:val="3"/>
        </w:rPr>
        <w:t>NEUTRALNY</w:t>
      </w:r>
      <w:r w:rsidRPr="00E22EC4">
        <w:rPr>
          <w:rFonts w:eastAsia="Aptos" w:cs="Calibri"/>
          <w:b/>
          <w:bCs/>
          <w:i/>
          <w:iCs/>
          <w:kern w:val="3"/>
          <w:vertAlign w:val="superscript"/>
        </w:rPr>
        <w:footnoteReference w:id="7"/>
      </w:r>
      <w:r w:rsidRPr="00E22EC4">
        <w:rPr>
          <w:rFonts w:eastAsia="Aptos" w:cs="Calibri"/>
          <w:i/>
          <w:iCs/>
          <w:kern w:val="3"/>
        </w:rPr>
        <w:t xml:space="preserve"> czy </w:t>
      </w:r>
      <w:r w:rsidRPr="00E22EC4">
        <w:rPr>
          <w:rFonts w:eastAsia="Aptos" w:cs="Calibri"/>
          <w:b/>
          <w:bCs/>
          <w:i/>
          <w:iCs/>
          <w:kern w:val="3"/>
        </w:rPr>
        <w:t>POZYTYWNY</w:t>
      </w:r>
      <w:r w:rsidRPr="00E22EC4">
        <w:rPr>
          <w:rFonts w:eastAsia="Aptos" w:cs="Calibri"/>
          <w:b/>
          <w:bCs/>
          <w:i/>
          <w:iCs/>
          <w:kern w:val="3"/>
          <w:vertAlign w:val="superscript"/>
        </w:rPr>
        <w:footnoteReference w:id="8"/>
      </w:r>
      <w:r w:rsidRPr="00E22EC4">
        <w:rPr>
          <w:rFonts w:eastAsia="Aptos" w:cs="Calibri"/>
          <w:i/>
          <w:iCs/>
          <w:kern w:val="3"/>
        </w:rPr>
        <w:t xml:space="preserve"> wpływ na powyższą zasadę oraz </w:t>
      </w:r>
      <w:r w:rsidRPr="00E22EC4">
        <w:rPr>
          <w:rFonts w:eastAsia="Aptos" w:cs="Calibri"/>
          <w:b/>
          <w:bCs/>
          <w:i/>
          <w:iCs/>
          <w:kern w:val="3"/>
        </w:rPr>
        <w:t>uzasadnij</w:t>
      </w:r>
      <w:r w:rsidRPr="00E22EC4">
        <w:rPr>
          <w:rFonts w:eastAsia="Aptos" w:cs="Calibri"/>
          <w:i/>
          <w:iCs/>
          <w:kern w:val="3"/>
        </w:rPr>
        <w:t xml:space="preserve">. </w:t>
      </w:r>
    </w:p>
    <w:bookmarkEnd w:id="3"/>
    <w:p w14:paraId="5BEC8A4A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ascii="Aptos" w:eastAsia="Aptos" w:hAnsi="Aptos"/>
          <w:kern w:val="3"/>
        </w:rPr>
      </w:pPr>
      <w:r w:rsidRPr="00E22EC4">
        <w:rPr>
          <w:rFonts w:eastAsia="Aptos" w:cs="Calibri"/>
          <w:kern w:val="3"/>
          <w:sz w:val="20"/>
          <w:szCs w:val="20"/>
        </w:rPr>
        <w:t xml:space="preserve">Przestrzeganie </w:t>
      </w:r>
      <w:r w:rsidRPr="00E22EC4">
        <w:rPr>
          <w:rFonts w:eastAsia="Aptos" w:cs="Calibri"/>
          <w:b/>
          <w:bCs/>
          <w:kern w:val="3"/>
          <w:sz w:val="20"/>
          <w:szCs w:val="20"/>
        </w:rPr>
        <w:t>zasady równości szans kobiet i mężczyzn</w:t>
      </w:r>
      <w:r w:rsidRPr="00E22EC4">
        <w:rPr>
          <w:rFonts w:eastAsia="Aptos" w:cs="Calibri"/>
          <w:kern w:val="3"/>
          <w:sz w:val="20"/>
          <w:szCs w:val="20"/>
        </w:rPr>
        <w:t xml:space="preserve"> oznacza jednakową dla osób obu płci możliwość udziału w przedsięwzięciu. Ponadto obligatoryjne są działania na rzecz wyrównania szans dla jednej z płci, której sytuacja w projekcie uznana jest za bardziej niekorzystną. Zarówno mężczyźni, jak i kobiety mają mieć równe prawa, obowiązki oraz wartość społeczną.</w:t>
      </w:r>
      <w:r w:rsidRPr="00E22EC4">
        <w:rPr>
          <w:rFonts w:ascii="Aptos" w:eastAsia="Aptos" w:hAnsi="Aptos"/>
          <w:kern w:val="3"/>
        </w:rPr>
        <w:t xml:space="preserve"> </w:t>
      </w:r>
    </w:p>
    <w:p w14:paraId="1C821C04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eastAsia="Aptos" w:cs="Calibri"/>
          <w:kern w:val="3"/>
          <w:sz w:val="20"/>
          <w:szCs w:val="20"/>
          <w:u w:val="single"/>
        </w:rPr>
      </w:pPr>
    </w:p>
    <w:p w14:paraId="467984D8" w14:textId="77777777" w:rsidR="00E22EC4" w:rsidRPr="00E22EC4" w:rsidRDefault="00E22EC4" w:rsidP="00E22EC4">
      <w:pPr>
        <w:suppressAutoHyphens/>
        <w:autoSpaceDN w:val="0"/>
        <w:spacing w:after="100" w:line="251" w:lineRule="auto"/>
        <w:contextualSpacing/>
        <w:jc w:val="both"/>
        <w:rPr>
          <w:rFonts w:ascii="Aptos" w:eastAsia="Aptos" w:hAnsi="Aptos"/>
          <w:kern w:val="3"/>
        </w:rPr>
      </w:pPr>
      <w:r w:rsidRPr="00E22EC4">
        <w:rPr>
          <w:rFonts w:eastAsia="Aptos" w:cs="Calibri"/>
          <w:b/>
          <w:bCs/>
          <w:kern w:val="3"/>
          <w:sz w:val="20"/>
          <w:szCs w:val="20"/>
          <w:u w:val="single"/>
        </w:rPr>
        <w:t>Przeprowadzając analizę Inwestycji pod kątem zapewnienia równości kobiet i mężczyzn</w:t>
      </w:r>
      <w:r w:rsidRPr="00E22EC4">
        <w:rPr>
          <w:rFonts w:ascii="Aptos" w:eastAsia="Aptos" w:hAnsi="Aptos"/>
          <w:b/>
          <w:bCs/>
          <w:kern w:val="3"/>
          <w:u w:val="single"/>
        </w:rPr>
        <w:t xml:space="preserve"> </w:t>
      </w:r>
      <w:r w:rsidRPr="00E22EC4">
        <w:rPr>
          <w:rFonts w:eastAsia="Aptos" w:cs="Calibri"/>
          <w:b/>
          <w:bCs/>
          <w:kern w:val="3"/>
          <w:sz w:val="20"/>
          <w:szCs w:val="20"/>
          <w:u w:val="single"/>
        </w:rPr>
        <w:t>można skorzystać z poniższych pytań:</w:t>
      </w:r>
    </w:p>
    <w:p w14:paraId="3EEA1F92" w14:textId="77777777" w:rsidR="00E22EC4" w:rsidRPr="00E22EC4" w:rsidRDefault="00E22EC4" w:rsidP="00B779D3">
      <w:pPr>
        <w:numPr>
          <w:ilvl w:val="0"/>
          <w:numId w:val="11"/>
        </w:numPr>
        <w:suppressAutoHyphens/>
        <w:autoSpaceDN w:val="0"/>
        <w:spacing w:after="100" w:line="251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czy prowadzona jest polityka wynagradzania w firmie, gdzie reguły określają czynniki wpływające na wynagrodzenie. Są to np. szeregowanie stanowisk wg zakresu czynności, doświadczenia, umiejętności, kwalifikacji?</w:t>
      </w:r>
    </w:p>
    <w:p w14:paraId="36C9FA5B" w14:textId="77777777" w:rsidR="00E22EC4" w:rsidRPr="00E22EC4" w:rsidRDefault="00E22EC4" w:rsidP="00B779D3">
      <w:pPr>
        <w:numPr>
          <w:ilvl w:val="0"/>
          <w:numId w:val="11"/>
        </w:numPr>
        <w:suppressAutoHyphens/>
        <w:autoSpaceDN w:val="0"/>
        <w:spacing w:after="100" w:line="251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czy mężczyźni i kobiety są traktowani jednakowo w miejscu pracy. Oznacza to na przykład, że pracodawca nie może preferować jednej płci nad drugą przy obsadzaniu stanowiska?</w:t>
      </w:r>
    </w:p>
    <w:p w14:paraId="7D96587C" w14:textId="77777777" w:rsidR="00E22EC4" w:rsidRPr="00E22EC4" w:rsidRDefault="00E22EC4" w:rsidP="00B779D3">
      <w:pPr>
        <w:numPr>
          <w:ilvl w:val="0"/>
          <w:numId w:val="11"/>
        </w:numPr>
        <w:suppressAutoHyphens/>
        <w:autoSpaceDN w:val="0"/>
        <w:spacing w:after="100" w:line="251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czy firma gwarantuje poszanowanie życia prywatnego i rodzinnego - pracownicy zatrudnieni przy realizacji projektu będą mieli elastyczne godziny pracy, urlopy opiekuńcze itp.?</w:t>
      </w:r>
    </w:p>
    <w:p w14:paraId="0BCD8EAD" w14:textId="77777777" w:rsidR="00E22EC4" w:rsidRPr="00E22EC4" w:rsidRDefault="00E22EC4" w:rsidP="00E22EC4">
      <w:pPr>
        <w:suppressAutoHyphens/>
        <w:autoSpaceDN w:val="0"/>
        <w:spacing w:after="100" w:line="251" w:lineRule="auto"/>
        <w:jc w:val="both"/>
        <w:rPr>
          <w:rFonts w:eastAsia="Aptos" w:cs="Calibri"/>
          <w:kern w:val="3"/>
          <w:sz w:val="20"/>
          <w:szCs w:val="20"/>
        </w:rPr>
      </w:pPr>
    </w:p>
    <w:p w14:paraId="67E73F9D" w14:textId="77777777" w:rsidR="00E22EC4" w:rsidRPr="00E22EC4" w:rsidRDefault="00E22EC4" w:rsidP="00E22EC4">
      <w:pPr>
        <w:suppressAutoHyphens/>
        <w:autoSpaceDN w:val="0"/>
        <w:spacing w:after="100" w:line="251" w:lineRule="auto"/>
        <w:jc w:val="both"/>
        <w:rPr>
          <w:rFonts w:eastAsia="Aptos" w:cs="Calibri"/>
          <w:kern w:val="3"/>
          <w:sz w:val="20"/>
          <w:szCs w:val="20"/>
        </w:rPr>
      </w:pPr>
    </w:p>
    <w:p w14:paraId="2D804FCA" w14:textId="77777777" w:rsidR="00E22EC4" w:rsidRPr="00E22EC4" w:rsidRDefault="00E22EC4" w:rsidP="00E22EC4">
      <w:pPr>
        <w:suppressAutoHyphens/>
        <w:autoSpaceDN w:val="0"/>
        <w:spacing w:after="100" w:line="251" w:lineRule="auto"/>
        <w:jc w:val="both"/>
        <w:rPr>
          <w:rFonts w:ascii="Aptos" w:eastAsia="Aptos" w:hAnsi="Aptos"/>
          <w:kern w:val="3"/>
        </w:rPr>
      </w:pPr>
      <w:r w:rsidRPr="00E22EC4">
        <w:rPr>
          <w:rFonts w:eastAsia="Aptos" w:cs="Calibri"/>
          <w:b/>
          <w:bCs/>
          <w:color w:val="0070C0"/>
          <w:kern w:val="3"/>
        </w:rPr>
        <w:t>D.2 Zgodność inwestycji z zasadami środowiskowymi</w:t>
      </w:r>
      <w:r w:rsidRPr="00E22EC4">
        <w:rPr>
          <w:rFonts w:eastAsia="Aptos" w:cs="Calibri"/>
          <w:b/>
          <w:bCs/>
          <w:color w:val="0070C0"/>
          <w:kern w:val="3"/>
          <w:vertAlign w:val="superscript"/>
        </w:rPr>
        <w:footnoteReference w:id="9"/>
      </w:r>
      <w:r w:rsidRPr="00E22EC4">
        <w:rPr>
          <w:rFonts w:eastAsia="Aptos" w:cs="Calibri"/>
          <w:b/>
          <w:bCs/>
          <w:color w:val="0070C0"/>
          <w:kern w:val="3"/>
        </w:rPr>
        <w:t>.</w:t>
      </w:r>
    </w:p>
    <w:p w14:paraId="2E81C57C" w14:textId="77777777" w:rsidR="00E22EC4" w:rsidRPr="00E22EC4" w:rsidRDefault="00E22EC4" w:rsidP="00E22EC4">
      <w:pPr>
        <w:suppressAutoHyphens/>
        <w:autoSpaceDN w:val="0"/>
        <w:spacing w:after="160" w:line="251" w:lineRule="auto"/>
        <w:jc w:val="both"/>
        <w:rPr>
          <w:rFonts w:ascii="Aptos" w:eastAsia="Aptos" w:hAnsi="Aptos"/>
          <w:kern w:val="3"/>
        </w:rPr>
      </w:pPr>
      <w:bookmarkStart w:id="4" w:name="_Hlk176950723"/>
      <w:r w:rsidRPr="00E22EC4">
        <w:rPr>
          <w:rFonts w:eastAsia="Aptos" w:cs="Calibri"/>
          <w:i/>
          <w:iCs/>
          <w:kern w:val="3"/>
        </w:rPr>
        <w:t>Odznacz wymagane oświadczenia (</w:t>
      </w:r>
      <w:r w:rsidRPr="00E22EC4">
        <w:rPr>
          <w:rFonts w:eastAsia="Aptos" w:cs="Calibri"/>
          <w:b/>
          <w:bCs/>
          <w:i/>
          <w:iCs/>
          <w:kern w:val="3"/>
        </w:rPr>
        <w:t>TAK</w:t>
      </w:r>
      <w:r w:rsidRPr="00E22EC4">
        <w:rPr>
          <w:rFonts w:eastAsia="Aptos" w:cs="Calibri"/>
          <w:i/>
          <w:iCs/>
          <w:kern w:val="3"/>
        </w:rPr>
        <w:t xml:space="preserve"> lub </w:t>
      </w:r>
      <w:r w:rsidRPr="00E22EC4">
        <w:rPr>
          <w:rFonts w:eastAsia="Aptos" w:cs="Calibri"/>
          <w:b/>
          <w:bCs/>
          <w:i/>
          <w:iCs/>
          <w:kern w:val="3"/>
        </w:rPr>
        <w:t>NIE</w:t>
      </w:r>
      <w:r w:rsidRPr="00E22EC4">
        <w:rPr>
          <w:rFonts w:eastAsia="Aptos" w:cs="Calibri"/>
          <w:b/>
          <w:bCs/>
          <w:i/>
          <w:iCs/>
          <w:kern w:val="3"/>
          <w:vertAlign w:val="superscript"/>
        </w:rPr>
        <w:footnoteReference w:id="10"/>
      </w:r>
      <w:r w:rsidRPr="00E22EC4">
        <w:rPr>
          <w:rFonts w:eastAsia="Aptos" w:cs="Calibri"/>
          <w:b/>
          <w:bCs/>
          <w:i/>
          <w:iCs/>
          <w:kern w:val="3"/>
        </w:rPr>
        <w:t>)</w:t>
      </w:r>
      <w:r w:rsidRPr="00E22EC4">
        <w:rPr>
          <w:rFonts w:eastAsia="Aptos" w:cs="Calibri"/>
          <w:i/>
          <w:iCs/>
          <w:kern w:val="3"/>
        </w:rPr>
        <w:t xml:space="preserve"> oraz </w:t>
      </w:r>
      <w:r w:rsidRPr="00E22EC4">
        <w:rPr>
          <w:rFonts w:eastAsia="Aptos" w:cs="Calibri"/>
          <w:b/>
          <w:bCs/>
          <w:i/>
          <w:iCs/>
          <w:kern w:val="3"/>
        </w:rPr>
        <w:t>uzasadnij</w:t>
      </w:r>
      <w:r w:rsidRPr="00E22EC4">
        <w:rPr>
          <w:rFonts w:eastAsia="Aptos" w:cs="Calibri"/>
          <w:i/>
          <w:iCs/>
          <w:kern w:val="3"/>
        </w:rPr>
        <w:t xml:space="preserve">, że inwestycja nie będzie wywierać negatywnego wpływu na środowisko. </w:t>
      </w:r>
    </w:p>
    <w:p w14:paraId="4381FC5D" w14:textId="77777777" w:rsidR="00E22EC4" w:rsidRPr="00E22EC4" w:rsidRDefault="00E22EC4" w:rsidP="00E22EC4">
      <w:pPr>
        <w:suppressAutoHyphens/>
        <w:autoSpaceDN w:val="0"/>
        <w:spacing w:after="160" w:line="251" w:lineRule="auto"/>
        <w:jc w:val="both"/>
        <w:rPr>
          <w:rFonts w:eastAsia="Aptos" w:cs="Calibri"/>
          <w:b/>
          <w:bCs/>
          <w:kern w:val="3"/>
          <w:sz w:val="20"/>
          <w:szCs w:val="20"/>
          <w:u w:val="single"/>
        </w:rPr>
      </w:pPr>
      <w:bookmarkStart w:id="5" w:name="_Hlk177039673"/>
      <w:bookmarkEnd w:id="4"/>
      <w:r w:rsidRPr="00E22EC4">
        <w:rPr>
          <w:rFonts w:eastAsia="Aptos" w:cs="Calibri"/>
          <w:b/>
          <w:bCs/>
          <w:kern w:val="3"/>
          <w:sz w:val="20"/>
          <w:szCs w:val="20"/>
          <w:u w:val="single"/>
        </w:rPr>
        <w:t xml:space="preserve">Przeprowadzając analizę pod kątem zapewnienia, że inwestycja </w:t>
      </w:r>
      <w:bookmarkEnd w:id="5"/>
      <w:r w:rsidRPr="00E22EC4">
        <w:rPr>
          <w:rFonts w:eastAsia="Aptos" w:cs="Calibri"/>
          <w:b/>
          <w:bCs/>
          <w:kern w:val="3"/>
          <w:sz w:val="20"/>
          <w:szCs w:val="20"/>
          <w:u w:val="single"/>
        </w:rPr>
        <w:t>nie będzie wywierać negatywnego wpływu na środowisko można skorzystać z poniższych pytań:</w:t>
      </w:r>
    </w:p>
    <w:p w14:paraId="6CBB5F36" w14:textId="4116F075" w:rsidR="00E22EC4" w:rsidRPr="00E22EC4" w:rsidRDefault="00E22EC4" w:rsidP="00B779D3">
      <w:pPr>
        <w:numPr>
          <w:ilvl w:val="0"/>
          <w:numId w:val="12"/>
        </w:numPr>
        <w:suppressAutoHyphens/>
        <w:autoSpaceDN w:val="0"/>
        <w:spacing w:after="160" w:line="251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czy nie prowadzi do znaczących emisji gazów cieplarnianych?</w:t>
      </w:r>
    </w:p>
    <w:p w14:paraId="6B409C3E" w14:textId="77777777" w:rsidR="00E22EC4" w:rsidRPr="00E22EC4" w:rsidRDefault="00E22EC4" w:rsidP="00B779D3">
      <w:pPr>
        <w:numPr>
          <w:ilvl w:val="0"/>
          <w:numId w:val="12"/>
        </w:numPr>
        <w:suppressAutoHyphens/>
        <w:autoSpaceDN w:val="0"/>
        <w:spacing w:after="160" w:line="251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czy nie prowadzi do zwiększenia powierzchni zabetonowanych i nieprzepuszczalnych, stanowiących wyspy ciepła?</w:t>
      </w:r>
    </w:p>
    <w:p w14:paraId="28B6D9A8" w14:textId="77777777" w:rsidR="00E22EC4" w:rsidRPr="00E22EC4" w:rsidRDefault="00E22EC4" w:rsidP="00B779D3">
      <w:pPr>
        <w:numPr>
          <w:ilvl w:val="0"/>
          <w:numId w:val="12"/>
        </w:numPr>
        <w:suppressAutoHyphens/>
        <w:autoSpaceDN w:val="0"/>
        <w:spacing w:after="160" w:line="251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czy nie szkodzi dobremu stanowi lub dobremu potencjałowi ekologicznemu jednolitych części wód, w tym wód powierzchniowych i wód podziemnych; lub dobremu stanowi środowiska wód morskich?</w:t>
      </w:r>
    </w:p>
    <w:p w14:paraId="09C8C180" w14:textId="77777777" w:rsidR="00E22EC4" w:rsidRPr="00E22EC4" w:rsidRDefault="00E22EC4" w:rsidP="00B779D3">
      <w:pPr>
        <w:numPr>
          <w:ilvl w:val="0"/>
          <w:numId w:val="12"/>
        </w:numPr>
        <w:suppressAutoHyphens/>
        <w:autoSpaceDN w:val="0"/>
        <w:spacing w:after="160" w:line="251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czy nie szkodzi dobremu stanowi i odporności ekosystemów i nie jest szkodliwa dla stanu zachowania siedlisk i gatunków, w tym siedlisk i gatunków objętych zakresem zainteresowania Unii?</w:t>
      </w:r>
    </w:p>
    <w:p w14:paraId="75B3F934" w14:textId="77777777" w:rsidR="00E22EC4" w:rsidRPr="00E22EC4" w:rsidRDefault="00E22EC4" w:rsidP="00B779D3">
      <w:pPr>
        <w:numPr>
          <w:ilvl w:val="0"/>
          <w:numId w:val="12"/>
        </w:numPr>
        <w:suppressAutoHyphens/>
        <w:autoSpaceDN w:val="0"/>
        <w:spacing w:after="160" w:line="251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czy nie prowadzi do znaczącego braku efektywności w wykorzystywaniu materiałów lub w bezpośrednim lub pośrednim wykorzystywaniu zasobów naturalnych,</w:t>
      </w:r>
    </w:p>
    <w:p w14:paraId="146C3874" w14:textId="77777777" w:rsidR="00E22EC4" w:rsidRPr="00E22EC4" w:rsidRDefault="00E22EC4" w:rsidP="00B779D3">
      <w:pPr>
        <w:numPr>
          <w:ilvl w:val="0"/>
          <w:numId w:val="12"/>
        </w:numPr>
        <w:suppressAutoHyphens/>
        <w:autoSpaceDN w:val="0"/>
        <w:spacing w:after="160" w:line="251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czy nie prowadzi do znaczącego zwiększenia wytwarzania, spalania lub unieszkodliwiania odpadów, składowanie odpadów nie wyrządza znaczącej i długoterminowej szkody dla środowiska.</w:t>
      </w:r>
    </w:p>
    <w:p w14:paraId="16BE77A9" w14:textId="77777777" w:rsidR="00E22EC4" w:rsidRPr="00E22EC4" w:rsidRDefault="00E22EC4" w:rsidP="00E22EC4">
      <w:pPr>
        <w:suppressAutoHyphens/>
        <w:autoSpaceDN w:val="0"/>
        <w:spacing w:after="160" w:line="251" w:lineRule="auto"/>
        <w:ind w:left="142"/>
        <w:contextualSpacing/>
        <w:jc w:val="both"/>
        <w:rPr>
          <w:rFonts w:eastAsia="Aptos" w:cs="Calibri"/>
          <w:kern w:val="3"/>
          <w:sz w:val="20"/>
          <w:szCs w:val="20"/>
        </w:rPr>
      </w:pPr>
    </w:p>
    <w:p w14:paraId="240146BE" w14:textId="28137F50" w:rsidR="00E22EC4" w:rsidRPr="00E22EC4" w:rsidRDefault="00E22EC4" w:rsidP="00E22EC4">
      <w:pPr>
        <w:suppressAutoHyphens/>
        <w:autoSpaceDN w:val="0"/>
        <w:spacing w:after="100" w:line="251" w:lineRule="auto"/>
        <w:jc w:val="both"/>
        <w:rPr>
          <w:rFonts w:eastAsia="Aptos" w:cs="Calibri"/>
          <w:b/>
          <w:bCs/>
          <w:color w:val="0070C0"/>
          <w:kern w:val="3"/>
        </w:rPr>
      </w:pPr>
      <w:r w:rsidRPr="00E22EC4">
        <w:rPr>
          <w:rFonts w:eastAsia="Aptos" w:cs="Calibri"/>
          <w:b/>
          <w:bCs/>
          <w:color w:val="0070C0"/>
          <w:kern w:val="3"/>
        </w:rPr>
        <w:t>D.3 Zgodność inwestycji z zasadą zrównoważonego rozwoju.</w:t>
      </w:r>
    </w:p>
    <w:p w14:paraId="08B4CADC" w14:textId="77777777" w:rsidR="00E22EC4" w:rsidRPr="00E22EC4" w:rsidRDefault="00E22EC4" w:rsidP="00E22EC4">
      <w:pPr>
        <w:suppressAutoHyphens/>
        <w:autoSpaceDN w:val="0"/>
        <w:spacing w:after="160" w:line="251" w:lineRule="auto"/>
        <w:jc w:val="both"/>
        <w:rPr>
          <w:rFonts w:ascii="Aptos" w:eastAsia="Aptos" w:hAnsi="Aptos"/>
          <w:kern w:val="3"/>
        </w:rPr>
      </w:pPr>
      <w:r w:rsidRPr="00E22EC4">
        <w:rPr>
          <w:rFonts w:eastAsia="Aptos" w:cs="Calibri"/>
          <w:i/>
          <w:iCs/>
          <w:kern w:val="3"/>
        </w:rPr>
        <w:t>Odznacz wymagane oświadczenie (</w:t>
      </w:r>
      <w:r w:rsidRPr="00E22EC4">
        <w:rPr>
          <w:rFonts w:eastAsia="Aptos" w:cs="Calibri"/>
          <w:b/>
          <w:bCs/>
          <w:i/>
          <w:iCs/>
          <w:kern w:val="3"/>
        </w:rPr>
        <w:t>TAK</w:t>
      </w:r>
      <w:r w:rsidRPr="00E22EC4">
        <w:rPr>
          <w:rFonts w:eastAsia="Aptos" w:cs="Calibri"/>
          <w:i/>
          <w:iCs/>
          <w:kern w:val="3"/>
        </w:rPr>
        <w:t xml:space="preserve"> lub </w:t>
      </w:r>
      <w:r w:rsidRPr="00E22EC4">
        <w:rPr>
          <w:rFonts w:eastAsia="Aptos" w:cs="Calibri"/>
          <w:b/>
          <w:bCs/>
          <w:i/>
          <w:iCs/>
          <w:kern w:val="3"/>
        </w:rPr>
        <w:t>NIE</w:t>
      </w:r>
      <w:r w:rsidRPr="00E22EC4">
        <w:rPr>
          <w:rFonts w:eastAsia="Aptos" w:cs="Calibri"/>
          <w:b/>
          <w:bCs/>
          <w:i/>
          <w:iCs/>
          <w:kern w:val="3"/>
          <w:vertAlign w:val="superscript"/>
        </w:rPr>
        <w:footnoteReference w:id="11"/>
      </w:r>
      <w:r w:rsidRPr="00E22EC4">
        <w:rPr>
          <w:rFonts w:eastAsia="Aptos" w:cs="Calibri"/>
          <w:b/>
          <w:bCs/>
          <w:i/>
          <w:iCs/>
          <w:kern w:val="3"/>
        </w:rPr>
        <w:t>)</w:t>
      </w:r>
      <w:r w:rsidRPr="00E22EC4">
        <w:rPr>
          <w:rFonts w:eastAsia="Aptos" w:cs="Calibri"/>
          <w:i/>
          <w:iCs/>
          <w:kern w:val="3"/>
        </w:rPr>
        <w:t xml:space="preserve"> oraz </w:t>
      </w:r>
      <w:r w:rsidRPr="00E22EC4">
        <w:rPr>
          <w:rFonts w:eastAsia="Aptos" w:cs="Calibri"/>
          <w:b/>
          <w:bCs/>
          <w:i/>
          <w:iCs/>
          <w:kern w:val="3"/>
        </w:rPr>
        <w:t>uzasadnij</w:t>
      </w:r>
      <w:r w:rsidRPr="00E22EC4">
        <w:rPr>
          <w:rFonts w:eastAsia="Aptos" w:cs="Calibri"/>
          <w:i/>
          <w:iCs/>
          <w:kern w:val="3"/>
        </w:rPr>
        <w:t>, że inwestycja będzie realizowana zgodnie z zasadą zrównoważonego rozwoju, o której mowa w art. 9 ust. 4 Rozporządzenia Parlamentu Europejskiego i Rady (UE) nr 2021/1060.</w:t>
      </w:r>
    </w:p>
    <w:p w14:paraId="1AD71A23" w14:textId="77777777" w:rsidR="00E22EC4" w:rsidRPr="00E22EC4" w:rsidRDefault="00E22EC4" w:rsidP="00E22EC4">
      <w:pPr>
        <w:suppressAutoHyphens/>
        <w:autoSpaceDN w:val="0"/>
        <w:spacing w:after="160" w:line="251" w:lineRule="auto"/>
        <w:jc w:val="both"/>
        <w:rPr>
          <w:rFonts w:ascii="Aptos" w:eastAsia="Aptos" w:hAnsi="Aptos"/>
          <w:kern w:val="3"/>
        </w:rPr>
      </w:pPr>
      <w:r w:rsidRPr="00E22EC4">
        <w:rPr>
          <w:rFonts w:eastAsia="Aptos" w:cs="Calibri"/>
          <w:b/>
          <w:bCs/>
          <w:kern w:val="3"/>
          <w:sz w:val="20"/>
          <w:szCs w:val="20"/>
        </w:rPr>
        <w:t>Zrównoważony rozwój</w:t>
      </w:r>
      <w:r w:rsidRPr="00E22EC4">
        <w:rPr>
          <w:rFonts w:eastAsia="Aptos" w:cs="Calibri"/>
          <w:kern w:val="3"/>
          <w:sz w:val="20"/>
          <w:szCs w:val="20"/>
        </w:rPr>
        <w:t xml:space="preserve"> oznacza pełną równowagę między trzema czynnikami postępu cywilizacyjnego: gospodarczym, społecznym i ekologicznym. Mówiąc prościej, zrównoważony rozwój to sposób „zarządzania” planetą w taki sposób, aby dobrobyt obecnego pokolenia nie powodował ograniczenia stopnia realizacji potrzeb przyszłych pokoleń.</w:t>
      </w:r>
    </w:p>
    <w:p w14:paraId="49127DBE" w14:textId="77777777" w:rsidR="00E22EC4" w:rsidRPr="00E22EC4" w:rsidRDefault="00E22EC4" w:rsidP="00E22EC4">
      <w:pPr>
        <w:suppressAutoHyphens/>
        <w:autoSpaceDN w:val="0"/>
        <w:spacing w:after="160" w:line="251" w:lineRule="auto"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 xml:space="preserve">W kontekście środowiska, zrównoważony rozwój oznacza: </w:t>
      </w:r>
    </w:p>
    <w:p w14:paraId="656EB15F" w14:textId="77777777" w:rsidR="00E22EC4" w:rsidRPr="00E22EC4" w:rsidRDefault="00E22EC4" w:rsidP="006A6BE1">
      <w:pPr>
        <w:numPr>
          <w:ilvl w:val="0"/>
          <w:numId w:val="13"/>
        </w:numPr>
        <w:suppressAutoHyphens/>
        <w:autoSpaceDN w:val="0"/>
        <w:spacing w:after="160" w:line="240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Racjonalne gospodarowanie zasobami.</w:t>
      </w:r>
    </w:p>
    <w:p w14:paraId="62977110" w14:textId="77777777" w:rsidR="00E22EC4" w:rsidRPr="00E22EC4" w:rsidRDefault="00E22EC4" w:rsidP="006A6BE1">
      <w:pPr>
        <w:numPr>
          <w:ilvl w:val="0"/>
          <w:numId w:val="13"/>
        </w:numPr>
        <w:suppressAutoHyphens/>
        <w:autoSpaceDN w:val="0"/>
        <w:spacing w:after="160" w:line="240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Ograniczenie presji na środowisko.</w:t>
      </w:r>
    </w:p>
    <w:p w14:paraId="66D94DB3" w14:textId="77777777" w:rsidR="00E22EC4" w:rsidRPr="00E22EC4" w:rsidRDefault="00E22EC4" w:rsidP="006A6BE1">
      <w:pPr>
        <w:numPr>
          <w:ilvl w:val="0"/>
          <w:numId w:val="13"/>
        </w:numPr>
        <w:suppressAutoHyphens/>
        <w:autoSpaceDN w:val="0"/>
        <w:spacing w:after="160" w:line="240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Uwzględnianie efektów środowiskowych w zarządzaniu.</w:t>
      </w:r>
    </w:p>
    <w:p w14:paraId="3986B288" w14:textId="77777777" w:rsidR="00E22EC4" w:rsidRPr="00E22EC4" w:rsidRDefault="00E22EC4" w:rsidP="006A6BE1">
      <w:pPr>
        <w:numPr>
          <w:ilvl w:val="0"/>
          <w:numId w:val="13"/>
        </w:numPr>
        <w:suppressAutoHyphens/>
        <w:autoSpaceDN w:val="0"/>
        <w:spacing w:after="160" w:line="240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 xml:space="preserve">Podnoszenie świadomości ekologicznej społeczeństwa. </w:t>
      </w:r>
    </w:p>
    <w:p w14:paraId="7F7BD176" w14:textId="77777777" w:rsidR="00E22EC4" w:rsidRPr="00E22EC4" w:rsidRDefault="00E22EC4" w:rsidP="006A6BE1">
      <w:pPr>
        <w:suppressAutoHyphens/>
        <w:autoSpaceDN w:val="0"/>
        <w:spacing w:after="160" w:line="240" w:lineRule="auto"/>
        <w:ind w:left="720" w:hanging="436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poprzez m. in:</w:t>
      </w:r>
    </w:p>
    <w:p w14:paraId="4C1F95B3" w14:textId="77777777" w:rsidR="00E22EC4" w:rsidRPr="00E22EC4" w:rsidRDefault="00E22EC4" w:rsidP="00B779D3">
      <w:pPr>
        <w:numPr>
          <w:ilvl w:val="0"/>
          <w:numId w:val="14"/>
        </w:numPr>
        <w:suppressAutoHyphens/>
        <w:autoSpaceDN w:val="0"/>
        <w:spacing w:after="160" w:line="240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eliminowanie substancji niebezpiecznych i toksycznych z procesów gospodarczych,</w:t>
      </w:r>
    </w:p>
    <w:p w14:paraId="72BEDB5A" w14:textId="77777777" w:rsidR="00E22EC4" w:rsidRPr="00E22EC4" w:rsidRDefault="00E22EC4" w:rsidP="00B779D3">
      <w:pPr>
        <w:numPr>
          <w:ilvl w:val="0"/>
          <w:numId w:val="14"/>
        </w:numPr>
        <w:suppressAutoHyphens/>
        <w:autoSpaceDN w:val="0"/>
        <w:spacing w:after="160" w:line="251" w:lineRule="auto"/>
        <w:ind w:left="284" w:hanging="284"/>
        <w:contextualSpacing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ograniczanie zużycia zasobów odnawialnych i nieodnawialnych,</w:t>
      </w:r>
    </w:p>
    <w:p w14:paraId="1EF1F80B" w14:textId="77777777" w:rsidR="00E22EC4" w:rsidRPr="00E22EC4" w:rsidRDefault="00E22EC4" w:rsidP="00B779D3">
      <w:pPr>
        <w:numPr>
          <w:ilvl w:val="0"/>
          <w:numId w:val="14"/>
        </w:numPr>
        <w:suppressAutoHyphens/>
        <w:autoSpaceDN w:val="0"/>
        <w:spacing w:after="160" w:line="240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utrzymywanie emisji zanieczyszczeń na możliwie najniższym poziomie,</w:t>
      </w:r>
    </w:p>
    <w:p w14:paraId="43C58AA6" w14:textId="77777777" w:rsidR="00E22EC4" w:rsidRPr="00E22EC4" w:rsidRDefault="00E22EC4" w:rsidP="00B779D3">
      <w:pPr>
        <w:numPr>
          <w:ilvl w:val="0"/>
          <w:numId w:val="14"/>
        </w:numPr>
        <w:suppressAutoHyphens/>
        <w:autoSpaceDN w:val="0"/>
        <w:spacing w:after="160" w:line="240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chronienie ekosystemów lądowych, zrównoważone gospodarowanie lasami, zwalczanie pustynnienia, odwracanie procesu degradacji gleby oraz powstrzymywanie utraty różnorodności biologicznej,</w:t>
      </w:r>
    </w:p>
    <w:p w14:paraId="0C64D52E" w14:textId="77777777" w:rsidR="00E22EC4" w:rsidRPr="00E22EC4" w:rsidRDefault="00E22EC4" w:rsidP="00B779D3">
      <w:pPr>
        <w:numPr>
          <w:ilvl w:val="0"/>
          <w:numId w:val="14"/>
        </w:numPr>
        <w:suppressAutoHyphens/>
        <w:autoSpaceDN w:val="0"/>
        <w:spacing w:after="160" w:line="240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stosowanie energooszczędnych rozwiązań w biurze, segregacja odpadów, promowanie zrównoważonej mobilności, wdrażanie programów szkoleniowych dla pracowników w zakresie zrównoważonego rozwoju</w:t>
      </w:r>
    </w:p>
    <w:p w14:paraId="1352F525" w14:textId="77777777" w:rsidR="00E22EC4" w:rsidRPr="00E22EC4" w:rsidRDefault="00E22EC4" w:rsidP="00E22EC4">
      <w:pPr>
        <w:suppressAutoHyphens/>
        <w:autoSpaceDN w:val="0"/>
        <w:spacing w:after="160" w:line="251" w:lineRule="auto"/>
        <w:jc w:val="both"/>
        <w:rPr>
          <w:rFonts w:ascii="Aptos" w:eastAsia="Aptos" w:hAnsi="Aptos"/>
          <w:kern w:val="3"/>
        </w:rPr>
      </w:pPr>
      <w:r w:rsidRPr="00E22EC4">
        <w:rPr>
          <w:rFonts w:eastAsia="Aptos" w:cs="Calibri"/>
          <w:kern w:val="3"/>
          <w:sz w:val="20"/>
          <w:szCs w:val="20"/>
        </w:rPr>
        <w:t xml:space="preserve">Uznaje się, że przedsięwzięcie jest zgodne z zasadą zrównoważonego rozwoju, jeżeli ma </w:t>
      </w:r>
      <w:r w:rsidRPr="00E22EC4">
        <w:rPr>
          <w:rFonts w:eastAsia="Aptos" w:cs="Calibri"/>
          <w:b/>
          <w:bCs/>
          <w:kern w:val="3"/>
          <w:sz w:val="20"/>
          <w:szCs w:val="20"/>
        </w:rPr>
        <w:t>co najmniej</w:t>
      </w:r>
      <w:r w:rsidRPr="00E22EC4">
        <w:rPr>
          <w:rFonts w:eastAsia="Aptos" w:cs="Calibri"/>
          <w:kern w:val="3"/>
          <w:sz w:val="20"/>
          <w:szCs w:val="20"/>
        </w:rPr>
        <w:t xml:space="preserve"> </w:t>
      </w:r>
      <w:r w:rsidRPr="00E22EC4">
        <w:rPr>
          <w:rFonts w:eastAsia="Aptos" w:cs="Calibri"/>
          <w:b/>
          <w:bCs/>
          <w:kern w:val="3"/>
          <w:sz w:val="20"/>
          <w:szCs w:val="20"/>
        </w:rPr>
        <w:t xml:space="preserve">neutralny </w:t>
      </w:r>
      <w:r w:rsidRPr="00E22EC4">
        <w:rPr>
          <w:rFonts w:eastAsia="Aptos" w:cs="Calibri"/>
          <w:kern w:val="3"/>
          <w:sz w:val="20"/>
          <w:szCs w:val="20"/>
        </w:rPr>
        <w:t xml:space="preserve">wpływ na środowisko. Pożyczka nie może być udzielona na przedsięwzięcia prowadzące do degradacji lub znacznego pogorszenia stanu </w:t>
      </w:r>
      <w:r w:rsidRPr="00E22EC4">
        <w:rPr>
          <w:rFonts w:eastAsia="Aptos" w:cs="Calibri"/>
          <w:kern w:val="3"/>
          <w:sz w:val="20"/>
          <w:szCs w:val="20"/>
        </w:rPr>
        <w:lastRenderedPageBreak/>
        <w:t>środowiska naturalnego. Zatem wszystkie przedsięwzięcia powinny być neutralne dla środowiska lub mieć na nie pozytywny wpływ.</w:t>
      </w:r>
    </w:p>
    <w:p w14:paraId="70933F17" w14:textId="77777777" w:rsidR="00E22EC4" w:rsidRPr="00E22EC4" w:rsidRDefault="00E22EC4" w:rsidP="00E22EC4">
      <w:pPr>
        <w:suppressAutoHyphens/>
        <w:autoSpaceDN w:val="0"/>
        <w:spacing w:after="160" w:line="251" w:lineRule="auto"/>
        <w:jc w:val="both"/>
        <w:rPr>
          <w:rFonts w:eastAsia="Aptos" w:cs="Calibri"/>
          <w:kern w:val="3"/>
          <w:sz w:val="20"/>
          <w:szCs w:val="20"/>
        </w:rPr>
      </w:pPr>
    </w:p>
    <w:p w14:paraId="5BE84D77" w14:textId="77777777" w:rsidR="00E22EC4" w:rsidRPr="00E22EC4" w:rsidRDefault="00E22EC4" w:rsidP="00E22EC4">
      <w:pPr>
        <w:suppressAutoHyphens/>
        <w:autoSpaceDN w:val="0"/>
        <w:spacing w:after="100" w:line="251" w:lineRule="auto"/>
        <w:jc w:val="both"/>
        <w:rPr>
          <w:rFonts w:eastAsia="Aptos" w:cs="Calibri"/>
          <w:b/>
          <w:bCs/>
          <w:kern w:val="3"/>
          <w:sz w:val="20"/>
          <w:szCs w:val="20"/>
          <w:u w:val="single"/>
        </w:rPr>
      </w:pPr>
      <w:r w:rsidRPr="00E22EC4">
        <w:rPr>
          <w:rFonts w:eastAsia="Aptos" w:cs="Calibri"/>
          <w:b/>
          <w:bCs/>
          <w:kern w:val="3"/>
          <w:sz w:val="20"/>
          <w:szCs w:val="20"/>
          <w:u w:val="single"/>
        </w:rPr>
        <w:t>Przeprowadzając analizę pod kątem zapewnienia, że inwestycja będzie realizowana zgodnie z zasadą zrównoważonego rozwoju można skorzystać z poniższych przykładów:</w:t>
      </w:r>
    </w:p>
    <w:p w14:paraId="79F0AEA9" w14:textId="77777777" w:rsidR="00E22EC4" w:rsidRPr="00E22EC4" w:rsidRDefault="00E22EC4" w:rsidP="00B779D3">
      <w:pPr>
        <w:numPr>
          <w:ilvl w:val="0"/>
          <w:numId w:val="15"/>
        </w:numPr>
        <w:suppressAutoHyphens/>
        <w:autoSpaceDN w:val="0"/>
        <w:spacing w:before="120" w:after="120" w:line="251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efektem przedsięwzięcia będzie zmniejszenie zużycia energii poprzez wymianę/zakup maszyn i urządzeń o wyższej klasie energetycznej, takich jak ....</w:t>
      </w:r>
    </w:p>
    <w:p w14:paraId="216980D5" w14:textId="77777777" w:rsidR="00E22EC4" w:rsidRPr="00E22EC4" w:rsidRDefault="00E22EC4" w:rsidP="00B779D3">
      <w:pPr>
        <w:numPr>
          <w:ilvl w:val="0"/>
          <w:numId w:val="15"/>
        </w:numPr>
        <w:suppressAutoHyphens/>
        <w:autoSpaceDN w:val="0"/>
        <w:spacing w:before="120" w:after="120" w:line="251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w ramach przedsięwzięcia MŚP planowane jest wykorzystanie /zwiększenie wykorzystania energii pochodzącej ze źródeł odnawialnych w procesie produkcji lub usług takich jak ....</w:t>
      </w:r>
    </w:p>
    <w:p w14:paraId="67803388" w14:textId="77777777" w:rsidR="00E22EC4" w:rsidRPr="00E22EC4" w:rsidRDefault="00E22EC4" w:rsidP="00B779D3">
      <w:pPr>
        <w:numPr>
          <w:ilvl w:val="0"/>
          <w:numId w:val="15"/>
        </w:numPr>
        <w:suppressAutoHyphens/>
        <w:autoSpaceDN w:val="0"/>
        <w:spacing w:before="120" w:after="120" w:line="251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w ramach przedsięwzięcia będą stosowane rozwiązania w zakresie zielono-niebieskiej infrastruktury, np. zielone dachy, zielone ściany, oczka wodne, deszczowe ogrody.</w:t>
      </w:r>
    </w:p>
    <w:p w14:paraId="3C45E589" w14:textId="77777777" w:rsidR="00E22EC4" w:rsidRPr="00E22EC4" w:rsidRDefault="00E22EC4" w:rsidP="00B779D3">
      <w:pPr>
        <w:numPr>
          <w:ilvl w:val="0"/>
          <w:numId w:val="15"/>
        </w:numPr>
        <w:suppressAutoHyphens/>
        <w:autoSpaceDN w:val="0"/>
        <w:spacing w:before="120" w:after="120" w:line="251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w ramach przedsięwzięcia zakłada się znaczącą poprawę efektywności energetycznej w procesie produkcji towarów lub świadczenia usług, polegającą na .....</w:t>
      </w:r>
    </w:p>
    <w:p w14:paraId="60839FA5" w14:textId="77777777" w:rsidR="00E22EC4" w:rsidRPr="00E22EC4" w:rsidRDefault="00E22EC4" w:rsidP="00B779D3">
      <w:pPr>
        <w:numPr>
          <w:ilvl w:val="0"/>
          <w:numId w:val="15"/>
        </w:numPr>
        <w:suppressAutoHyphens/>
        <w:autoSpaceDN w:val="0"/>
        <w:spacing w:before="120" w:after="120" w:line="251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w ramach przedsięwzięcia będą podejmowane działania prowadzące do zmniejszania odpadów, zwiększenia ich segregacji i recyklingu,</w:t>
      </w:r>
    </w:p>
    <w:p w14:paraId="349065D8" w14:textId="77777777" w:rsidR="00E22EC4" w:rsidRPr="00E22EC4" w:rsidRDefault="00E22EC4" w:rsidP="00B779D3">
      <w:pPr>
        <w:numPr>
          <w:ilvl w:val="0"/>
          <w:numId w:val="15"/>
        </w:numPr>
        <w:suppressAutoHyphens/>
        <w:autoSpaceDN w:val="0"/>
        <w:spacing w:before="120" w:after="120" w:line="251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 xml:space="preserve">w ramach przedsięwzięcia nie przewiduje się działań negatywnie ingerujących w stan i jakość zasobów wodnych, np. odprowadzanie zanieczyszczonych odpadów do najbliższego zbiornika wodnego, rewitalizacja istniejącego zbiornika wodnego do celów rekreacyjnych, poprzez instalację armatury znacząco zwiększającej pobór i odprowadzanie wody, w przypadku prac budowlanych miejsca, w których będą składowane odpady z przebudowy i rozbiórki w oczekiwaniu na przetworzenie, zostaną przykryte by w przypadku deszczu zanieczyszczenia z odpadów nie były spłukiwane do lokalnej warstwy </w:t>
      </w:r>
      <w:proofErr w:type="spellStart"/>
      <w:r w:rsidRPr="00E22EC4">
        <w:rPr>
          <w:rFonts w:eastAsia="Aptos" w:cs="Calibri"/>
          <w:kern w:val="3"/>
          <w:sz w:val="20"/>
          <w:szCs w:val="20"/>
        </w:rPr>
        <w:t>wodnonośnej</w:t>
      </w:r>
      <w:proofErr w:type="spellEnd"/>
      <w:r w:rsidRPr="00E22EC4">
        <w:rPr>
          <w:rFonts w:eastAsia="Aptos" w:cs="Calibri"/>
          <w:kern w:val="3"/>
          <w:sz w:val="20"/>
          <w:szCs w:val="20"/>
        </w:rPr>
        <w:t xml:space="preserve">, </w:t>
      </w:r>
    </w:p>
    <w:p w14:paraId="229FCE56" w14:textId="77777777" w:rsidR="00E22EC4" w:rsidRPr="00E22EC4" w:rsidRDefault="00E22EC4" w:rsidP="00B779D3">
      <w:pPr>
        <w:numPr>
          <w:ilvl w:val="0"/>
          <w:numId w:val="15"/>
        </w:numPr>
        <w:suppressAutoHyphens/>
        <w:autoSpaceDN w:val="0"/>
        <w:spacing w:before="120" w:after="120" w:line="251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przedsięwzięcie nie ingeruje w naturalne ekosystemy w sposób prowadzący do znacznego pogorszenia warunków środowiskowych lub wprowadzenia do nich gatunków inwazyjnych,</w:t>
      </w:r>
    </w:p>
    <w:p w14:paraId="67BB7BED" w14:textId="77777777" w:rsidR="00E22EC4" w:rsidRPr="00E22EC4" w:rsidRDefault="00E22EC4" w:rsidP="00B779D3">
      <w:pPr>
        <w:numPr>
          <w:ilvl w:val="0"/>
          <w:numId w:val="15"/>
        </w:numPr>
        <w:suppressAutoHyphens/>
        <w:autoSpaceDN w:val="0"/>
        <w:spacing w:before="120" w:after="120" w:line="251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w ramach przedsięwzięcia w przypadku prac budowlanych będą stosowane standardy ochrony drzew:</w:t>
      </w:r>
    </w:p>
    <w:p w14:paraId="1E8E2644" w14:textId="77777777" w:rsidR="00E22EC4" w:rsidRPr="00E22EC4" w:rsidRDefault="00E22EC4" w:rsidP="00B779D3">
      <w:pPr>
        <w:numPr>
          <w:ilvl w:val="0"/>
          <w:numId w:val="15"/>
        </w:numPr>
        <w:suppressAutoHyphens/>
        <w:autoSpaceDN w:val="0"/>
        <w:spacing w:before="120" w:after="120" w:line="251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 xml:space="preserve">w ramach przedsięwzięcia przewiduje się dokonywanie </w:t>
      </w:r>
      <w:proofErr w:type="spellStart"/>
      <w:r w:rsidRPr="00E22EC4">
        <w:rPr>
          <w:rFonts w:eastAsia="Aptos" w:cs="Calibri"/>
          <w:kern w:val="3"/>
          <w:sz w:val="20"/>
          <w:szCs w:val="20"/>
        </w:rPr>
        <w:t>nasadzeń</w:t>
      </w:r>
      <w:proofErr w:type="spellEnd"/>
      <w:r w:rsidRPr="00E22EC4">
        <w:rPr>
          <w:rFonts w:eastAsia="Aptos" w:cs="Calibri"/>
          <w:kern w:val="3"/>
          <w:sz w:val="20"/>
          <w:szCs w:val="20"/>
        </w:rPr>
        <w:t xml:space="preserve"> drzew i krzewów, zakładanie łąk kwietnych</w:t>
      </w:r>
    </w:p>
    <w:p w14:paraId="4E5EB926" w14:textId="77777777" w:rsidR="00E22EC4" w:rsidRPr="00E22EC4" w:rsidRDefault="00E22EC4" w:rsidP="00B779D3">
      <w:pPr>
        <w:numPr>
          <w:ilvl w:val="0"/>
          <w:numId w:val="15"/>
        </w:numPr>
        <w:suppressAutoHyphens/>
        <w:autoSpaceDN w:val="0"/>
        <w:spacing w:before="120" w:after="120" w:line="251" w:lineRule="auto"/>
        <w:ind w:left="284" w:hanging="284"/>
        <w:contextualSpacing/>
        <w:jc w:val="both"/>
        <w:rPr>
          <w:rFonts w:eastAsia="Aptos" w:cs="Calibri"/>
          <w:kern w:val="3"/>
          <w:sz w:val="20"/>
          <w:szCs w:val="20"/>
        </w:rPr>
      </w:pPr>
      <w:r w:rsidRPr="00E22EC4">
        <w:rPr>
          <w:rFonts w:eastAsia="Aptos" w:cs="Calibri"/>
          <w:kern w:val="3"/>
          <w:sz w:val="20"/>
          <w:szCs w:val="20"/>
        </w:rPr>
        <w:t>itp.</w:t>
      </w:r>
    </w:p>
    <w:p w14:paraId="22F1B45C" w14:textId="77777777" w:rsidR="00E22EC4" w:rsidRPr="00E22EC4" w:rsidRDefault="00E22EC4" w:rsidP="00E22EC4">
      <w:pPr>
        <w:suppressAutoHyphens/>
        <w:autoSpaceDN w:val="0"/>
        <w:spacing w:before="120" w:after="120" w:line="251" w:lineRule="auto"/>
        <w:ind w:left="714"/>
        <w:contextualSpacing/>
        <w:jc w:val="both"/>
        <w:rPr>
          <w:rFonts w:eastAsia="Aptos" w:cs="Calibri"/>
          <w:kern w:val="3"/>
          <w:sz w:val="20"/>
          <w:szCs w:val="20"/>
        </w:rPr>
      </w:pPr>
    </w:p>
    <w:p w14:paraId="2DA0E0D3" w14:textId="77777777" w:rsidR="00E22EC4" w:rsidRPr="00E22EC4" w:rsidRDefault="00E22EC4" w:rsidP="00E22EC4">
      <w:pPr>
        <w:suppressAutoHyphens/>
        <w:autoSpaceDN w:val="0"/>
        <w:spacing w:after="160" w:line="251" w:lineRule="auto"/>
        <w:jc w:val="both"/>
        <w:rPr>
          <w:rFonts w:eastAsia="Aptos" w:cs="Calibri"/>
          <w:kern w:val="3"/>
          <w:sz w:val="20"/>
          <w:szCs w:val="20"/>
        </w:rPr>
      </w:pPr>
    </w:p>
    <w:p w14:paraId="0FDDC95C" w14:textId="77777777" w:rsidR="00E22EC4" w:rsidRPr="00E22EC4" w:rsidRDefault="00E22EC4" w:rsidP="00E22EC4"/>
    <w:p w14:paraId="3BAFFC7D" w14:textId="77777777" w:rsidR="00DE0C57" w:rsidRPr="00E22EC4" w:rsidRDefault="00DE0C57" w:rsidP="00E22EC4"/>
    <w:sectPr w:rsidR="00DE0C57" w:rsidRPr="00E22EC4" w:rsidSect="009B4DC2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70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C09D3C" w14:textId="77777777" w:rsidR="007B31C3" w:rsidRDefault="007B31C3" w:rsidP="00E7405C">
      <w:pPr>
        <w:spacing w:after="0" w:line="240" w:lineRule="auto"/>
      </w:pPr>
      <w:r>
        <w:separator/>
      </w:r>
    </w:p>
  </w:endnote>
  <w:endnote w:type="continuationSeparator" w:id="0">
    <w:p w14:paraId="3B8D8822" w14:textId="77777777" w:rsidR="007B31C3" w:rsidRDefault="007B31C3" w:rsidP="00E74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toLTPro-Light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9A51C6" w14:textId="77777777" w:rsidR="00F97D98" w:rsidRDefault="00F97D98" w:rsidP="00F97D98">
    <w:pPr>
      <w:pStyle w:val="Stopka"/>
      <w:ind w:left="360"/>
    </w:pPr>
    <w:r>
      <w:ptab w:relativeTo="margin" w:alignment="left" w:leader="none"/>
    </w:r>
    <w:r>
      <w:rPr>
        <w:noProof/>
      </w:rPr>
      <w:drawing>
        <wp:inline distT="0" distB="0" distL="0" distR="0" wp14:anchorId="463FCD4E" wp14:editId="18B401E7">
          <wp:extent cx="6170295" cy="688975"/>
          <wp:effectExtent l="0" t="0" r="1905" b="0"/>
          <wp:docPr id="1714452439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029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73E30" w14:textId="77777777" w:rsidR="00DE0C57" w:rsidRDefault="002949AF" w:rsidP="00876DEC">
    <w:pPr>
      <w:pStyle w:val="Stopka"/>
      <w:tabs>
        <w:tab w:val="clear" w:pos="4536"/>
        <w:tab w:val="clear" w:pos="9072"/>
        <w:tab w:val="left" w:pos="7980"/>
      </w:tabs>
    </w:pPr>
    <w:r w:rsidRPr="004B5429">
      <w:rPr>
        <w:noProof/>
        <w:lang w:eastAsia="pl-PL"/>
      </w:rPr>
      <w:drawing>
        <wp:inline distT="0" distB="0" distL="0" distR="0" wp14:anchorId="32315BBD" wp14:editId="2A993342">
          <wp:extent cx="6324600" cy="561711"/>
          <wp:effectExtent l="0" t="0" r="0" b="0"/>
          <wp:docPr id="14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20769" cy="561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E0C5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989696" w14:textId="77777777" w:rsidR="007B31C3" w:rsidRDefault="007B31C3" w:rsidP="00E7405C">
      <w:pPr>
        <w:spacing w:after="0" w:line="240" w:lineRule="auto"/>
      </w:pPr>
      <w:r>
        <w:separator/>
      </w:r>
    </w:p>
  </w:footnote>
  <w:footnote w:type="continuationSeparator" w:id="0">
    <w:p w14:paraId="10D619D9" w14:textId="77777777" w:rsidR="007B31C3" w:rsidRDefault="007B31C3" w:rsidP="00E7405C">
      <w:pPr>
        <w:spacing w:after="0" w:line="240" w:lineRule="auto"/>
      </w:pPr>
      <w:r>
        <w:continuationSeparator/>
      </w:r>
    </w:p>
  </w:footnote>
  <w:footnote w:id="1">
    <w:p w14:paraId="4A828592" w14:textId="77777777" w:rsidR="00E22EC4" w:rsidRDefault="00E22EC4" w:rsidP="006A6BE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Calibri" w:hAnsi="Calibri" w:cs="Calibri"/>
          <w:sz w:val="16"/>
          <w:szCs w:val="16"/>
        </w:rPr>
        <w:t xml:space="preserve">Przez </w:t>
      </w:r>
      <w:r>
        <w:rPr>
          <w:rFonts w:ascii="Calibri" w:hAnsi="Calibri" w:cs="Calibri"/>
          <w:b/>
          <w:bCs/>
          <w:sz w:val="16"/>
          <w:szCs w:val="16"/>
        </w:rPr>
        <w:t xml:space="preserve">neutralny </w:t>
      </w:r>
      <w:r>
        <w:rPr>
          <w:rFonts w:ascii="Calibri" w:hAnsi="Calibri" w:cs="Calibri"/>
          <w:sz w:val="16"/>
          <w:szCs w:val="16"/>
        </w:rPr>
        <w:t>wpływ należy rozumieć, że przedsięwzięcie, decyzja lub działanie nie faworyzuje ani nie dyskryminuje żadnej grupy osób. W praktyce oznacza to, że wszyscy mają równe szanse i dostęp do zasobów, usług czy możliwości, bez względu na ich płeć, wiek, pochodzenie etniczne, niepełnosprawność czy inne cechy.</w:t>
      </w:r>
    </w:p>
  </w:footnote>
  <w:footnote w:id="2">
    <w:p w14:paraId="0C4AFFE5" w14:textId="77777777" w:rsidR="00E22EC4" w:rsidRDefault="00E22EC4" w:rsidP="006A6BE1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ascii="Calibri" w:hAnsi="Calibri" w:cs="Calibri"/>
          <w:sz w:val="16"/>
          <w:szCs w:val="16"/>
        </w:rPr>
        <w:t xml:space="preserve"> Przez </w:t>
      </w:r>
      <w:r>
        <w:rPr>
          <w:rFonts w:ascii="Calibri" w:hAnsi="Calibri" w:cs="Calibri"/>
          <w:b/>
          <w:bCs/>
          <w:sz w:val="16"/>
          <w:szCs w:val="16"/>
        </w:rPr>
        <w:t>pozytywny</w:t>
      </w:r>
      <w:r>
        <w:rPr>
          <w:rFonts w:ascii="Calibri" w:hAnsi="Calibri" w:cs="Calibri"/>
          <w:sz w:val="16"/>
          <w:szCs w:val="16"/>
        </w:rPr>
        <w:t xml:space="preserve"> wpływ należy rozumieć zapewnienie dostępności infrastruktury, środków transportu, towarów, usług, technologii i systemów informacyjno-komunikacyjnych oraz wszelkich produktów przedsięwzięcia.</w:t>
      </w:r>
    </w:p>
  </w:footnote>
  <w:footnote w:id="3">
    <w:p w14:paraId="34479D1A" w14:textId="77777777" w:rsidR="00E22EC4" w:rsidRDefault="00E22EC4" w:rsidP="006A6BE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Calibri" w:hAnsi="Calibri" w:cs="Calibri"/>
          <w:b/>
          <w:bCs/>
          <w:sz w:val="16"/>
          <w:szCs w:val="16"/>
        </w:rPr>
        <w:t>Koncepcja uniwersalnego projektowania</w:t>
      </w:r>
      <w:r>
        <w:rPr>
          <w:rFonts w:ascii="Calibri" w:hAnsi="Calibri" w:cs="Calibri"/>
          <w:sz w:val="16"/>
          <w:szCs w:val="16"/>
        </w:rPr>
        <w:t xml:space="preserve"> oznacza takie projektowanie produktów, środowiska, programów i usług, żeby były one użyteczne dla wszystkich, w możliwie największym stopniu, bez potrzeby adaptacji lub specjalistycznego projektowania.</w:t>
      </w:r>
    </w:p>
  </w:footnote>
  <w:footnote w:id="4">
    <w:p w14:paraId="3A62CF07" w14:textId="77777777" w:rsidR="00E22EC4" w:rsidRDefault="00E22EC4" w:rsidP="006A6BE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Calibri" w:hAnsi="Calibri" w:cs="Calibri"/>
          <w:b/>
          <w:bCs/>
          <w:sz w:val="16"/>
          <w:szCs w:val="16"/>
        </w:rPr>
        <w:t xml:space="preserve">Web Content Accessibility </w:t>
      </w:r>
      <w:proofErr w:type="spellStart"/>
      <w:r>
        <w:rPr>
          <w:rFonts w:ascii="Calibri" w:hAnsi="Calibri" w:cs="Calibri"/>
          <w:b/>
          <w:bCs/>
          <w:sz w:val="16"/>
          <w:szCs w:val="16"/>
        </w:rPr>
        <w:t>Guidelines</w:t>
      </w:r>
      <w:proofErr w:type="spellEnd"/>
      <w:r>
        <w:rPr>
          <w:rFonts w:ascii="Calibri" w:hAnsi="Calibri" w:cs="Calibri"/>
          <w:b/>
          <w:bCs/>
          <w:sz w:val="16"/>
          <w:szCs w:val="16"/>
        </w:rPr>
        <w:t xml:space="preserve"> (WCAG)</w:t>
      </w:r>
      <w:r>
        <w:rPr>
          <w:rFonts w:ascii="Calibri" w:hAnsi="Calibri" w:cs="Calibri"/>
          <w:sz w:val="16"/>
          <w:szCs w:val="16"/>
        </w:rPr>
        <w:t xml:space="preserve"> to zbiór wytycznych), które mają na celu zapewnienie dostępności treści internetowych dla wszystkich użytkowników, w tym osób z niepełnosprawnościami.</w:t>
      </w:r>
    </w:p>
  </w:footnote>
  <w:footnote w:id="5">
    <w:p w14:paraId="7BAD1E8C" w14:textId="77777777" w:rsidR="00E22EC4" w:rsidRDefault="00E22EC4" w:rsidP="006A6BE1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ascii="Calibri" w:hAnsi="Calibri" w:cs="Calibri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sz w:val="16"/>
          <w:szCs w:val="16"/>
        </w:rPr>
        <w:t>Karta praw podstawowych</w:t>
      </w:r>
      <w:r>
        <w:rPr>
          <w:rFonts w:ascii="Calibri" w:hAnsi="Calibri" w:cs="Calibri"/>
          <w:sz w:val="16"/>
          <w:szCs w:val="16"/>
        </w:rPr>
        <w:t xml:space="preserve"> jest dokumentem regulującym prawa człowieka w Unii Europejskiej, do którego przestrzegania są zobowiązani wszyscy członkowie stosujący prawo unijne. </w:t>
      </w:r>
    </w:p>
  </w:footnote>
  <w:footnote w:id="6">
    <w:p w14:paraId="3B79ED5A" w14:textId="77777777" w:rsidR="00E22EC4" w:rsidRDefault="00E22EC4" w:rsidP="006A6BE1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ascii="Calibri" w:hAnsi="Calibri" w:cs="Calibri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sz w:val="16"/>
          <w:szCs w:val="16"/>
        </w:rPr>
        <w:t>Konwencja o prawach osób niepełnosprawnych</w:t>
      </w:r>
      <w:r>
        <w:rPr>
          <w:rFonts w:ascii="Calibri" w:hAnsi="Calibri" w:cs="Calibri"/>
          <w:sz w:val="16"/>
          <w:szCs w:val="16"/>
        </w:rPr>
        <w:t xml:space="preserve"> to międzynarodowa umowa ONZ mająca na celu umożliwienie osobom niepełnosprawnym korzystanie z wszystkich praw człowieka i podstawowych wolności na równi z innymi osobami.</w:t>
      </w:r>
    </w:p>
  </w:footnote>
  <w:footnote w:id="7">
    <w:p w14:paraId="4F935F59" w14:textId="77777777" w:rsidR="00E22EC4" w:rsidRDefault="00E22EC4" w:rsidP="006A6BE1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ascii="Calibri" w:hAnsi="Calibri" w:cs="Calibri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sz w:val="16"/>
          <w:szCs w:val="16"/>
        </w:rPr>
        <w:t>Neutralny</w:t>
      </w:r>
      <w:r>
        <w:rPr>
          <w:rFonts w:ascii="Calibri" w:hAnsi="Calibri" w:cs="Calibri"/>
          <w:sz w:val="16"/>
          <w:szCs w:val="16"/>
        </w:rPr>
        <w:t xml:space="preserve"> wpływ na zasadę równości kobiet i mężczyzn oznacza, że dany projekt lub działanie nie pogarsza ani nie poprawia sytuacji w zakresie równości płci.</w:t>
      </w:r>
    </w:p>
  </w:footnote>
  <w:footnote w:id="8">
    <w:p w14:paraId="63BDC860" w14:textId="77777777" w:rsidR="00E22EC4" w:rsidRDefault="00E22EC4" w:rsidP="006A6BE1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ascii="Calibri" w:hAnsi="Calibri" w:cs="Calibri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sz w:val="16"/>
          <w:szCs w:val="16"/>
        </w:rPr>
        <w:t xml:space="preserve">Pozytywny </w:t>
      </w:r>
      <w:r>
        <w:rPr>
          <w:rFonts w:ascii="Calibri" w:hAnsi="Calibri" w:cs="Calibri"/>
          <w:sz w:val="16"/>
          <w:szCs w:val="16"/>
        </w:rPr>
        <w:t>wpływ na zasadę równości kobiet i mężczyzn oznacza wdrożenie działań (rozwiązań), które wpłyną na wyrównanie szans płci będącej w gorszym położeniu oraz stworzenie takich mechanizmów, aby w trakcie realizacji projektu na żadnym etapie nie dochodziło do dyskryminacji i wykluczenia ze względu na płeć.</w:t>
      </w:r>
    </w:p>
  </w:footnote>
  <w:footnote w:id="9">
    <w:p w14:paraId="02BCEC10" w14:textId="77777777" w:rsidR="00E22EC4" w:rsidRDefault="00E22EC4" w:rsidP="00111AEA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ascii="Calibri" w:hAnsi="Calibri" w:cs="Calibri"/>
          <w:sz w:val="16"/>
          <w:szCs w:val="16"/>
        </w:rPr>
        <w:t xml:space="preserve"> Uzgodniono sześć celów środowiskowych: ochrona klimatu, adaptacja do zmian klimatycznych, zrównoważone wykorzystanie i ochrona zasobów wodnych i morskich, przejście na gospodarkę o obiegu zamkniętym, zapobieganie zanieczyszczeniom i ich redukcja, ochrona i odbudowa różnorodności biologicznej i ekosystemów.</w:t>
      </w:r>
    </w:p>
  </w:footnote>
  <w:footnote w:id="10">
    <w:p w14:paraId="24B8C57B" w14:textId="77777777" w:rsidR="00E22EC4" w:rsidRDefault="00E22EC4" w:rsidP="00111AEA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ascii="Calibri" w:hAnsi="Calibri" w:cs="Calibri"/>
          <w:sz w:val="16"/>
          <w:szCs w:val="16"/>
        </w:rPr>
        <w:t xml:space="preserve"> Zaznaczenie wariantu „NIE” przy oświadczeniu będzie skutkować odrzuceniem wniosku bez oceny pozostałych dokumentów.</w:t>
      </w:r>
    </w:p>
  </w:footnote>
  <w:footnote w:id="11">
    <w:p w14:paraId="5F7CC4D8" w14:textId="77777777" w:rsidR="00E22EC4" w:rsidRDefault="00E22EC4" w:rsidP="00111AEA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ascii="Calibri" w:hAnsi="Calibri" w:cs="Calibri"/>
          <w:sz w:val="16"/>
          <w:szCs w:val="16"/>
        </w:rPr>
        <w:t xml:space="preserve"> Zaznaczenie wariantu „NIE” przy oświadczeniu będzie skutkować odrzuceniem wniosku bez oceny pozostałych dokumentów.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5F9F28" w14:textId="77777777" w:rsidR="00DE0C57" w:rsidRDefault="00DE0C57" w:rsidP="004E7DDB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C698A70" w14:textId="77777777" w:rsidR="00DE0C57" w:rsidRDefault="00DE0C57" w:rsidP="004E7DDB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E89D6B" w14:textId="77777777" w:rsidR="00F97D98" w:rsidRDefault="00F97D98" w:rsidP="00F97D98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</w:rPr>
      <w:t>1</w:t>
    </w:r>
    <w:r>
      <w:rPr>
        <w:rStyle w:val="Numerstrony"/>
      </w:rPr>
      <w:fldChar w:fldCharType="end"/>
    </w:r>
  </w:p>
  <w:p w14:paraId="4FEBDCB9" w14:textId="77777777" w:rsidR="00F97D98" w:rsidRDefault="00F97D98" w:rsidP="00F97D98">
    <w:pPr>
      <w:pStyle w:val="Nagwek"/>
      <w:tabs>
        <w:tab w:val="clear" w:pos="4536"/>
        <w:tab w:val="clear" w:pos="9072"/>
        <w:tab w:val="left" w:pos="3720"/>
      </w:tabs>
    </w:pPr>
    <w:r>
      <w:rPr>
        <w:noProof/>
        <w:lang w:eastAsia="pl-PL"/>
      </w:rPr>
      <w:drawing>
        <wp:anchor distT="0" distB="0" distL="114300" distR="114300" simplePos="0" relativeHeight="251671552" behindDoc="1" locked="0" layoutInCell="1" allowOverlap="1" wp14:anchorId="267F90A8" wp14:editId="06DD42A5">
          <wp:simplePos x="0" y="0"/>
          <wp:positionH relativeFrom="column">
            <wp:posOffset>4386580</wp:posOffset>
          </wp:positionH>
          <wp:positionV relativeFrom="paragraph">
            <wp:posOffset>-49530</wp:posOffset>
          </wp:positionV>
          <wp:extent cx="838200" cy="431800"/>
          <wp:effectExtent l="0" t="0" r="0" b="6350"/>
          <wp:wrapNone/>
          <wp:docPr id="2129733681" name="Obraz 2129733681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Obraz 56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588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71525D99" wp14:editId="7FDDB67B">
          <wp:simplePos x="0" y="0"/>
          <wp:positionH relativeFrom="column">
            <wp:posOffset>5405755</wp:posOffset>
          </wp:positionH>
          <wp:positionV relativeFrom="paragraph">
            <wp:posOffset>-97155</wp:posOffset>
          </wp:positionV>
          <wp:extent cx="571500" cy="495300"/>
          <wp:effectExtent l="0" t="0" r="0" b="0"/>
          <wp:wrapNone/>
          <wp:docPr id="11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7AE8F48" wp14:editId="7EBBAE12">
              <wp:simplePos x="0" y="0"/>
              <wp:positionH relativeFrom="column">
                <wp:posOffset>271780</wp:posOffset>
              </wp:positionH>
              <wp:positionV relativeFrom="paragraph">
                <wp:posOffset>455295</wp:posOffset>
              </wp:positionV>
              <wp:extent cx="5686425" cy="0"/>
              <wp:effectExtent l="9525" t="9525" r="9525" b="9525"/>
              <wp:wrapNone/>
              <wp:docPr id="6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86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233FF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21.4pt;margin-top:35.85pt;width:447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"/>
          </w:pict>
        </mc:Fallback>
      </mc:AlternateContent>
    </w:r>
    <w:r>
      <w:tab/>
    </w:r>
  </w:p>
  <w:p w14:paraId="7F8DAEA0" w14:textId="25544BB1" w:rsidR="00DE0C57" w:rsidRPr="00F97D98" w:rsidRDefault="00DE0C57" w:rsidP="00F97D9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7EDE56" w14:textId="1397FF03" w:rsidR="00DE0C57" w:rsidRDefault="009B4DC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1052DAE2" wp14:editId="21355E71">
          <wp:simplePos x="0" y="0"/>
          <wp:positionH relativeFrom="column">
            <wp:posOffset>4779645</wp:posOffset>
          </wp:positionH>
          <wp:positionV relativeFrom="paragraph">
            <wp:posOffset>-169545</wp:posOffset>
          </wp:positionV>
          <wp:extent cx="776605" cy="434340"/>
          <wp:effectExtent l="0" t="0" r="4445" b="3810"/>
          <wp:wrapTight wrapText="bothSides">
            <wp:wrapPolygon edited="0">
              <wp:start x="0" y="0"/>
              <wp:lineTo x="0" y="20842"/>
              <wp:lineTo x="21194" y="20842"/>
              <wp:lineTo x="21194" y="0"/>
              <wp:lineTo x="0" y="0"/>
            </wp:wrapPolygon>
          </wp:wrapTight>
          <wp:docPr id="4" name="Obraz 4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" cy="434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49A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781E81" wp14:editId="213707D1">
              <wp:simplePos x="0" y="0"/>
              <wp:positionH relativeFrom="column">
                <wp:posOffset>118110</wp:posOffset>
              </wp:positionH>
              <wp:positionV relativeFrom="paragraph">
                <wp:posOffset>274320</wp:posOffset>
              </wp:positionV>
              <wp:extent cx="6048375" cy="0"/>
              <wp:effectExtent l="0" t="0" r="9525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3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BC7D6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.3pt;margin-top:21.6pt;width:476.2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"/>
          </w:pict>
        </mc:Fallback>
      </mc:AlternateContent>
    </w:r>
    <w:r w:rsidR="002949AF">
      <w:rPr>
        <w:noProof/>
        <w:lang w:eastAsia="pl-PL"/>
      </w:rPr>
      <w:drawing>
        <wp:anchor distT="0" distB="0" distL="114300" distR="114300" simplePos="0" relativeHeight="251653120" behindDoc="1" locked="0" layoutInCell="1" allowOverlap="1" wp14:anchorId="5733A54E" wp14:editId="73598D01">
          <wp:simplePos x="0" y="0"/>
          <wp:positionH relativeFrom="column">
            <wp:posOffset>5623560</wp:posOffset>
          </wp:positionH>
          <wp:positionV relativeFrom="paragraph">
            <wp:posOffset>-182880</wp:posOffset>
          </wp:positionV>
          <wp:extent cx="495300" cy="457200"/>
          <wp:effectExtent l="0" t="0" r="0" b="0"/>
          <wp:wrapNone/>
          <wp:docPr id="12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49AF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D83603D" wp14:editId="440FEE2F">
          <wp:simplePos x="0" y="0"/>
          <wp:positionH relativeFrom="column">
            <wp:posOffset>89535</wp:posOffset>
          </wp:positionH>
          <wp:positionV relativeFrom="paragraph">
            <wp:posOffset>-182880</wp:posOffset>
          </wp:positionV>
          <wp:extent cx="1152525" cy="457200"/>
          <wp:effectExtent l="0" t="0" r="9525" b="0"/>
          <wp:wrapNone/>
          <wp:docPr id="13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82C1F"/>
    <w:multiLevelType w:val="multilevel"/>
    <w:tmpl w:val="9B964BE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9251E92"/>
    <w:multiLevelType w:val="multilevel"/>
    <w:tmpl w:val="E5FA619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E1A503A"/>
    <w:multiLevelType w:val="multilevel"/>
    <w:tmpl w:val="27ECD94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BD2371"/>
    <w:multiLevelType w:val="hybridMultilevel"/>
    <w:tmpl w:val="77A0CD4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84B4B11"/>
    <w:multiLevelType w:val="hybridMultilevel"/>
    <w:tmpl w:val="50706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DC4653"/>
    <w:multiLevelType w:val="hybridMultilevel"/>
    <w:tmpl w:val="B10A68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93EF7"/>
    <w:multiLevelType w:val="hybridMultilevel"/>
    <w:tmpl w:val="E986463A"/>
    <w:lvl w:ilvl="0" w:tplc="02A49BC2">
      <w:start w:val="1"/>
      <w:numFmt w:val="lowerLetter"/>
      <w:lvlText w:val="%1)"/>
      <w:lvlJc w:val="left"/>
      <w:pPr>
        <w:ind w:left="720" w:hanging="360"/>
      </w:pPr>
      <w:rPr>
        <w:rFonts w:eastAsia="VetoLTPro-Light" w:cs="VetoLTPro-Light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5771DA"/>
    <w:multiLevelType w:val="hybridMultilevel"/>
    <w:tmpl w:val="D5D868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A83307"/>
    <w:multiLevelType w:val="hybridMultilevel"/>
    <w:tmpl w:val="C3481954"/>
    <w:lvl w:ilvl="0" w:tplc="723C0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  <w:rPr>
        <w:rFonts w:cs="Times New Roman"/>
      </w:rPr>
    </w:lvl>
  </w:abstractNum>
  <w:abstractNum w:abstractNumId="10" w15:restartNumberingAfterBreak="0">
    <w:nsid w:val="4FAD57BF"/>
    <w:multiLevelType w:val="hybridMultilevel"/>
    <w:tmpl w:val="1EEEDA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B315AE"/>
    <w:multiLevelType w:val="hybridMultilevel"/>
    <w:tmpl w:val="50706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347653"/>
    <w:multiLevelType w:val="hybridMultilevel"/>
    <w:tmpl w:val="484285A8"/>
    <w:lvl w:ilvl="0" w:tplc="FFFFFFFF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6DD84E62"/>
    <w:multiLevelType w:val="multilevel"/>
    <w:tmpl w:val="79787AD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78F23EF5"/>
    <w:multiLevelType w:val="multilevel"/>
    <w:tmpl w:val="FB22ED3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981887492">
    <w:abstractNumId w:val="3"/>
  </w:num>
  <w:num w:numId="2" w16cid:durableId="2126388815">
    <w:abstractNumId w:val="9"/>
  </w:num>
  <w:num w:numId="3" w16cid:durableId="710690185">
    <w:abstractNumId w:val="12"/>
  </w:num>
  <w:num w:numId="4" w16cid:durableId="319844877">
    <w:abstractNumId w:val="4"/>
  </w:num>
  <w:num w:numId="5" w16cid:durableId="2085685578">
    <w:abstractNumId w:val="6"/>
  </w:num>
  <w:num w:numId="6" w16cid:durableId="994263080">
    <w:abstractNumId w:val="5"/>
  </w:num>
  <w:num w:numId="7" w16cid:durableId="18357993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81974604">
    <w:abstractNumId w:val="10"/>
  </w:num>
  <w:num w:numId="9" w16cid:durableId="446700761">
    <w:abstractNumId w:val="7"/>
  </w:num>
  <w:num w:numId="10" w16cid:durableId="737829215">
    <w:abstractNumId w:val="11"/>
  </w:num>
  <w:num w:numId="11" w16cid:durableId="125395722">
    <w:abstractNumId w:val="2"/>
  </w:num>
  <w:num w:numId="12" w16cid:durableId="968704131">
    <w:abstractNumId w:val="1"/>
  </w:num>
  <w:num w:numId="13" w16cid:durableId="66341417">
    <w:abstractNumId w:val="0"/>
  </w:num>
  <w:num w:numId="14" w16cid:durableId="1316102478">
    <w:abstractNumId w:val="13"/>
  </w:num>
  <w:num w:numId="15" w16cid:durableId="55839608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05C"/>
    <w:rsid w:val="00011B3B"/>
    <w:rsid w:val="00036CEA"/>
    <w:rsid w:val="00087974"/>
    <w:rsid w:val="000B6B8C"/>
    <w:rsid w:val="000D23A0"/>
    <w:rsid w:val="000D25D1"/>
    <w:rsid w:val="000E58C9"/>
    <w:rsid w:val="00111AEA"/>
    <w:rsid w:val="00114E42"/>
    <w:rsid w:val="00176755"/>
    <w:rsid w:val="0018124B"/>
    <w:rsid w:val="00187DB5"/>
    <w:rsid w:val="001A090B"/>
    <w:rsid w:val="001F1C9B"/>
    <w:rsid w:val="001F4CCF"/>
    <w:rsid w:val="00227EDD"/>
    <w:rsid w:val="00250507"/>
    <w:rsid w:val="0026029C"/>
    <w:rsid w:val="0027078D"/>
    <w:rsid w:val="002743FE"/>
    <w:rsid w:val="002949AF"/>
    <w:rsid w:val="002C19CD"/>
    <w:rsid w:val="002C52E0"/>
    <w:rsid w:val="002F6B0F"/>
    <w:rsid w:val="0030112B"/>
    <w:rsid w:val="003119A6"/>
    <w:rsid w:val="00337CD2"/>
    <w:rsid w:val="003523F2"/>
    <w:rsid w:val="003619C7"/>
    <w:rsid w:val="003D3854"/>
    <w:rsid w:val="003D7D85"/>
    <w:rsid w:val="003F30B5"/>
    <w:rsid w:val="004271F1"/>
    <w:rsid w:val="00440A3D"/>
    <w:rsid w:val="00453BF1"/>
    <w:rsid w:val="00480662"/>
    <w:rsid w:val="00483957"/>
    <w:rsid w:val="0048495A"/>
    <w:rsid w:val="004E7DDB"/>
    <w:rsid w:val="00504A95"/>
    <w:rsid w:val="0054233C"/>
    <w:rsid w:val="005967CD"/>
    <w:rsid w:val="005B0257"/>
    <w:rsid w:val="005B4315"/>
    <w:rsid w:val="005F3899"/>
    <w:rsid w:val="00654AF1"/>
    <w:rsid w:val="00664971"/>
    <w:rsid w:val="00675CDA"/>
    <w:rsid w:val="00681628"/>
    <w:rsid w:val="0069038A"/>
    <w:rsid w:val="006A6BE1"/>
    <w:rsid w:val="006B21CC"/>
    <w:rsid w:val="006D4405"/>
    <w:rsid w:val="0072097C"/>
    <w:rsid w:val="00753D6D"/>
    <w:rsid w:val="007B31C3"/>
    <w:rsid w:val="007C2D59"/>
    <w:rsid w:val="007D197E"/>
    <w:rsid w:val="007D2F50"/>
    <w:rsid w:val="007F468B"/>
    <w:rsid w:val="00806358"/>
    <w:rsid w:val="00811C2C"/>
    <w:rsid w:val="008345CB"/>
    <w:rsid w:val="00876DEC"/>
    <w:rsid w:val="00891005"/>
    <w:rsid w:val="00912F58"/>
    <w:rsid w:val="00940673"/>
    <w:rsid w:val="00960E5F"/>
    <w:rsid w:val="00972139"/>
    <w:rsid w:val="00973941"/>
    <w:rsid w:val="0098240F"/>
    <w:rsid w:val="009958C7"/>
    <w:rsid w:val="0099694E"/>
    <w:rsid w:val="009B1490"/>
    <w:rsid w:val="009B4DC2"/>
    <w:rsid w:val="009D23C3"/>
    <w:rsid w:val="009F0E50"/>
    <w:rsid w:val="00A02C1A"/>
    <w:rsid w:val="00A23BB5"/>
    <w:rsid w:val="00A2412C"/>
    <w:rsid w:val="00A427A3"/>
    <w:rsid w:val="00A500B2"/>
    <w:rsid w:val="00A92BD1"/>
    <w:rsid w:val="00A95F51"/>
    <w:rsid w:val="00AA4C7A"/>
    <w:rsid w:val="00AD4DD2"/>
    <w:rsid w:val="00AF78EF"/>
    <w:rsid w:val="00B33257"/>
    <w:rsid w:val="00B35558"/>
    <w:rsid w:val="00B470C9"/>
    <w:rsid w:val="00B7183A"/>
    <w:rsid w:val="00B779D3"/>
    <w:rsid w:val="00B921E0"/>
    <w:rsid w:val="00B96CCC"/>
    <w:rsid w:val="00BC5A84"/>
    <w:rsid w:val="00BF7983"/>
    <w:rsid w:val="00C04E6F"/>
    <w:rsid w:val="00C2426B"/>
    <w:rsid w:val="00C752D3"/>
    <w:rsid w:val="00D279A7"/>
    <w:rsid w:val="00D43060"/>
    <w:rsid w:val="00D4384E"/>
    <w:rsid w:val="00D4765D"/>
    <w:rsid w:val="00D5390C"/>
    <w:rsid w:val="00D6217F"/>
    <w:rsid w:val="00D70D2E"/>
    <w:rsid w:val="00DA10B7"/>
    <w:rsid w:val="00DE0C57"/>
    <w:rsid w:val="00DE3172"/>
    <w:rsid w:val="00E22EC4"/>
    <w:rsid w:val="00E33AFB"/>
    <w:rsid w:val="00E35AC0"/>
    <w:rsid w:val="00E438A4"/>
    <w:rsid w:val="00E443B0"/>
    <w:rsid w:val="00E53E7D"/>
    <w:rsid w:val="00E7405C"/>
    <w:rsid w:val="00EA21E3"/>
    <w:rsid w:val="00EF0995"/>
    <w:rsid w:val="00EF58F7"/>
    <w:rsid w:val="00F009F4"/>
    <w:rsid w:val="00F06B22"/>
    <w:rsid w:val="00F21ACD"/>
    <w:rsid w:val="00F51CAC"/>
    <w:rsid w:val="00F65F33"/>
    <w:rsid w:val="00F7048A"/>
    <w:rsid w:val="00F71C5A"/>
    <w:rsid w:val="00F97D98"/>
    <w:rsid w:val="00FB7A08"/>
    <w:rsid w:val="00FC4516"/>
    <w:rsid w:val="00FD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BAFAB7"/>
  <w15:docId w15:val="{3CA751FA-2DA1-44B6-9564-046EA4DA1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426B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227EDD"/>
    <w:pPr>
      <w:keepNext/>
      <w:autoSpaceDE w:val="0"/>
      <w:autoSpaceDN w:val="0"/>
      <w:spacing w:before="240" w:after="60" w:line="240" w:lineRule="auto"/>
      <w:outlineLvl w:val="1"/>
    </w:pPr>
    <w:rPr>
      <w:rFonts w:ascii="Arial" w:hAnsi="Arial"/>
      <w:b/>
      <w:i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227EDD"/>
    <w:pPr>
      <w:keepNext/>
      <w:autoSpaceDE w:val="0"/>
      <w:autoSpaceDN w:val="0"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227EDD"/>
    <w:pPr>
      <w:autoSpaceDE w:val="0"/>
      <w:autoSpaceDN w:val="0"/>
      <w:spacing w:before="240" w:after="60" w:line="240" w:lineRule="auto"/>
      <w:outlineLvl w:val="6"/>
    </w:pPr>
    <w:rPr>
      <w:rFonts w:ascii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2Char">
    <w:name w:val="Heading 2 Char"/>
    <w:basedOn w:val="Domylnaczcionkaakapitu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27EDD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227EDD"/>
    <w:rPr>
      <w:rFonts w:cs="Times New Roman"/>
      <w:sz w:val="24"/>
      <w:szCs w:val="24"/>
      <w:lang w:val="pl-PL" w:eastAsia="pl-PL" w:bidi="ar-SA"/>
    </w:rPr>
  </w:style>
  <w:style w:type="paragraph" w:styleId="Nagwek">
    <w:name w:val="header"/>
    <w:basedOn w:val="Normalny"/>
    <w:link w:val="NagwekZnak"/>
    <w:uiPriority w:val="99"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7405C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7405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E74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7405C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link w:val="Nagwek2"/>
    <w:uiPriority w:val="99"/>
    <w:locked/>
    <w:rsid w:val="00227EDD"/>
    <w:rPr>
      <w:rFonts w:ascii="Arial" w:hAnsi="Arial"/>
      <w:b/>
      <w:i/>
      <w:sz w:val="28"/>
    </w:rPr>
  </w:style>
  <w:style w:type="paragraph" w:styleId="Tekstpodstawowy">
    <w:name w:val="Body Text"/>
    <w:basedOn w:val="Normalny"/>
    <w:link w:val="TekstpodstawowyZnak"/>
    <w:uiPriority w:val="99"/>
    <w:rsid w:val="00227ED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autoSpaceDE w:val="0"/>
      <w:autoSpaceDN w:val="0"/>
      <w:spacing w:after="0" w:line="240" w:lineRule="auto"/>
      <w:jc w:val="both"/>
    </w:pPr>
    <w:rPr>
      <w:szCs w:val="20"/>
      <w:lang w:val="en-GB" w:eastAsia="pl-PL"/>
    </w:rPr>
  </w:style>
  <w:style w:type="character" w:customStyle="1" w:styleId="BodyTextChar">
    <w:name w:val="Body Text Char"/>
    <w:basedOn w:val="Domylnaczcionkaakapitu"/>
    <w:uiPriority w:val="99"/>
    <w:semiHidden/>
    <w:locked/>
    <w:rPr>
      <w:rFonts w:cs="Times New Roman"/>
      <w:lang w:eastAsia="en-US"/>
    </w:rPr>
  </w:style>
  <w:style w:type="character" w:customStyle="1" w:styleId="TekstpodstawowyZnak">
    <w:name w:val="Tekst podstawowy Znak"/>
    <w:link w:val="Tekstpodstawowy"/>
    <w:uiPriority w:val="99"/>
    <w:locked/>
    <w:rsid w:val="00227EDD"/>
    <w:rPr>
      <w:sz w:val="22"/>
      <w:lang w:val="en-GB"/>
    </w:rPr>
  </w:style>
  <w:style w:type="paragraph" w:styleId="Tekstpodstawowy2">
    <w:name w:val="Body Text 2"/>
    <w:basedOn w:val="Normalny"/>
    <w:link w:val="Tekstpodstawowy2Znak"/>
    <w:uiPriority w:val="99"/>
    <w:rsid w:val="00227EDD"/>
    <w:pPr>
      <w:autoSpaceDE w:val="0"/>
      <w:autoSpaceDN w:val="0"/>
      <w:spacing w:after="120" w:line="48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27EDD"/>
    <w:rPr>
      <w:rFonts w:cs="Times New Roman"/>
      <w:sz w:val="24"/>
      <w:szCs w:val="24"/>
      <w:lang w:val="pl-PL" w:eastAsia="pl-PL" w:bidi="ar-SA"/>
    </w:rPr>
  </w:style>
  <w:style w:type="paragraph" w:customStyle="1" w:styleId="Opis1">
    <w:name w:val="Opis1"/>
    <w:basedOn w:val="Normalny"/>
    <w:uiPriority w:val="99"/>
    <w:rsid w:val="00227EDD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styleId="Tekstpodstawowy3">
    <w:name w:val="Body Text 3"/>
    <w:basedOn w:val="Normalny"/>
    <w:link w:val="Tekstpodstawowy3Znak"/>
    <w:uiPriority w:val="99"/>
    <w:rsid w:val="00227EDD"/>
    <w:pPr>
      <w:autoSpaceDE w:val="0"/>
      <w:autoSpaceDN w:val="0"/>
      <w:spacing w:after="120" w:line="240" w:lineRule="auto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27EDD"/>
    <w:rPr>
      <w:rFonts w:cs="Times New Roman"/>
      <w:sz w:val="16"/>
      <w:szCs w:val="16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uiPriority w:val="99"/>
    <w:rsid w:val="00227EDD"/>
    <w:pPr>
      <w:autoSpaceDE w:val="0"/>
      <w:autoSpaceDN w:val="0"/>
      <w:spacing w:after="120" w:line="240" w:lineRule="auto"/>
      <w:ind w:left="283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227EDD"/>
    <w:rPr>
      <w:rFonts w:cs="Times New Roman"/>
      <w:sz w:val="16"/>
      <w:szCs w:val="16"/>
      <w:lang w:val="pl-PL" w:eastAsia="pl-PL" w:bidi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227ED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locked/>
    <w:rsid w:val="00227EDD"/>
    <w:rPr>
      <w:rFonts w:eastAsia="Times New Roman" w:cs="Times New Roman"/>
      <w:lang w:val="pl-PL" w:eastAsia="pl-PL" w:bidi="ar-SA"/>
    </w:rPr>
  </w:style>
  <w:style w:type="character" w:styleId="Odwoanieprzypisudolnego">
    <w:name w:val="footnote reference"/>
    <w:basedOn w:val="Domylnaczcionkaakapitu"/>
    <w:uiPriority w:val="99"/>
    <w:rsid w:val="00227EDD"/>
    <w:rPr>
      <w:rFonts w:cs="Times New Roman"/>
      <w:vertAlign w:val="superscript"/>
    </w:rPr>
  </w:style>
  <w:style w:type="character" w:styleId="Numerstrony">
    <w:name w:val="page number"/>
    <w:basedOn w:val="Domylnaczcionkaakapitu"/>
    <w:uiPriority w:val="99"/>
    <w:rsid w:val="004E7DDB"/>
    <w:rPr>
      <w:rFonts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E33AF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B7A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FB7A08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94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9A5CD-C773-4668-BEDB-8E735FC94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1584</Words>
  <Characters>9506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AGROREG S.A.</cp:lastModifiedBy>
  <cp:revision>10</cp:revision>
  <dcterms:created xsi:type="dcterms:W3CDTF">2024-09-27T08:26:00Z</dcterms:created>
  <dcterms:modified xsi:type="dcterms:W3CDTF">2024-10-17T09:27:00Z</dcterms:modified>
</cp:coreProperties>
</file>